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D602" w14:textId="77777777" w:rsidR="00A72135" w:rsidRPr="00A72135" w:rsidRDefault="00A72135" w:rsidP="00A72135">
      <w:pPr>
        <w:spacing w:before="40"/>
        <w:rPr>
          <w:rFonts w:ascii="Raleway" w:eastAsia="Times New Roman" w:hAnsi="Raleway" w:cs="Times New Roman"/>
          <w:b/>
          <w:bCs/>
          <w:color w:val="EF7516"/>
          <w:sz w:val="32"/>
          <w:szCs w:val="32"/>
          <w:lang w:eastAsia="fr-CA"/>
        </w:rPr>
      </w:pPr>
      <w:bookmarkStart w:id="0" w:name="_Toc493246017"/>
      <w:r w:rsidRPr="00A72135">
        <w:rPr>
          <w:rFonts w:ascii="Raleway" w:hAnsi="Raleway"/>
          <w:b/>
          <w:color w:val="EF7516"/>
          <w:sz w:val="32"/>
          <w:szCs w:val="32"/>
        </w:rPr>
        <w:t xml:space="preserve">Aide-mémoire pour la prévention et le contrôle </w:t>
      </w:r>
      <w:r w:rsidR="00F52999">
        <w:rPr>
          <w:rFonts w:ascii="Raleway" w:hAnsi="Raleway"/>
          <w:b/>
          <w:color w:val="EF7516"/>
          <w:sz w:val="32"/>
          <w:szCs w:val="32"/>
        </w:rPr>
        <w:t xml:space="preserve">des </w:t>
      </w:r>
      <w:r w:rsidR="00372E65" w:rsidRPr="00372E65">
        <w:rPr>
          <w:rFonts w:ascii="Raleway" w:hAnsi="Raleway"/>
          <w:b/>
          <w:color w:val="EF7516"/>
          <w:sz w:val="32"/>
          <w:szCs w:val="32"/>
        </w:rPr>
        <w:t>virus respiratoires</w:t>
      </w:r>
      <w:r w:rsidR="00F52999">
        <w:rPr>
          <w:rFonts w:ascii="Raleway" w:hAnsi="Raleway"/>
          <w:b/>
          <w:color w:val="EF7516"/>
          <w:sz w:val="32"/>
          <w:szCs w:val="32"/>
        </w:rPr>
        <w:t>, incluant l’influenza,</w:t>
      </w:r>
      <w:r w:rsidR="00372E65" w:rsidRPr="00372E65">
        <w:rPr>
          <w:rFonts w:ascii="Raleway" w:hAnsi="Raleway"/>
          <w:b/>
          <w:color w:val="EF7516"/>
          <w:sz w:val="32"/>
          <w:szCs w:val="32"/>
        </w:rPr>
        <w:t xml:space="preserve"> </w:t>
      </w:r>
      <w:r w:rsidRPr="00A72135">
        <w:rPr>
          <w:rFonts w:ascii="Raleway" w:hAnsi="Raleway"/>
          <w:b/>
          <w:color w:val="EF7516"/>
          <w:sz w:val="32"/>
          <w:szCs w:val="32"/>
        </w:rPr>
        <w:t>dans les établissements de soins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2299"/>
        <w:gridCol w:w="2299"/>
        <w:gridCol w:w="2298"/>
        <w:gridCol w:w="2282"/>
        <w:gridCol w:w="2316"/>
      </w:tblGrid>
      <w:tr w:rsidR="008872E3" w:rsidRPr="003C0D0B" w14:paraId="090F3E2E" w14:textId="77777777" w:rsidTr="001429B9">
        <w:trPr>
          <w:trHeight w:val="420"/>
        </w:trPr>
        <w:tc>
          <w:tcPr>
            <w:tcW w:w="2889" w:type="dxa"/>
            <w:vMerge w:val="restart"/>
            <w:shd w:val="clear" w:color="auto" w:fill="1C819A"/>
            <w:vAlign w:val="center"/>
            <w:hideMark/>
          </w:tcPr>
          <w:p w14:paraId="36F3EE28" w14:textId="77777777" w:rsidR="008872E3" w:rsidRPr="003C0D0B" w:rsidRDefault="008872E3" w:rsidP="00A72135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Item</w:t>
            </w:r>
          </w:p>
        </w:tc>
        <w:tc>
          <w:tcPr>
            <w:tcW w:w="2292" w:type="dxa"/>
            <w:vMerge w:val="restart"/>
            <w:shd w:val="clear" w:color="auto" w:fill="1C819A"/>
            <w:hideMark/>
          </w:tcPr>
          <w:p w14:paraId="47044FCB" w14:textId="77777777" w:rsidR="008872E3" w:rsidRPr="003C0D0B" w:rsidRDefault="008872E3" w:rsidP="0062298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Préparation</w:t>
            </w:r>
          </w:p>
        </w:tc>
        <w:tc>
          <w:tcPr>
            <w:tcW w:w="2292" w:type="dxa"/>
            <w:shd w:val="clear" w:color="auto" w:fill="1C819A"/>
            <w:hideMark/>
          </w:tcPr>
          <w:p w14:paraId="0B7601BB" w14:textId="77777777" w:rsidR="008872E3" w:rsidRPr="003C0D0B" w:rsidRDefault="008872E3" w:rsidP="008D5F15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 xml:space="preserve">Cas </w:t>
            </w:r>
            <w:r w:rsidR="008D5F15"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sporadique</w:t>
            </w:r>
            <w:r w:rsidR="0038500F"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s</w:t>
            </w:r>
          </w:p>
        </w:tc>
        <w:tc>
          <w:tcPr>
            <w:tcW w:w="2291" w:type="dxa"/>
            <w:shd w:val="clear" w:color="auto" w:fill="1C819A"/>
            <w:hideMark/>
          </w:tcPr>
          <w:p w14:paraId="492D1463" w14:textId="77777777" w:rsidR="008872E3" w:rsidRPr="003C0D0B" w:rsidRDefault="00A72135" w:rsidP="0062298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noProof/>
                <w:color w:val="000000"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B401A" wp14:editId="5266F76B">
                      <wp:simplePos x="0" y="0"/>
                      <wp:positionH relativeFrom="column">
                        <wp:posOffset>-2739390</wp:posOffset>
                      </wp:positionH>
                      <wp:positionV relativeFrom="paragraph">
                        <wp:posOffset>97790</wp:posOffset>
                      </wp:positionV>
                      <wp:extent cx="6981190" cy="295275"/>
                      <wp:effectExtent l="0" t="0" r="0" b="9525"/>
                      <wp:wrapNone/>
                      <wp:docPr id="5" name="Flèche droi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1190" cy="295275"/>
                              </a:xfrm>
                              <a:prstGeom prst="rightArrow">
                                <a:avLst>
                                  <a:gd name="adj1" fmla="val 20370"/>
                                  <a:gd name="adj2" fmla="val 48039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720C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5" o:spid="_x0000_s1026" type="#_x0000_t13" style="position:absolute;margin-left:-215.7pt;margin-top:7.7pt;width:549.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ZsFgIAAG0EAAAOAAAAZHJzL2Uyb0RvYy54bWysVNtuEzEQfUfiHyy/072UtEmUTYVahRdE&#10;Kwof4HrtrME3jU024Yv4D36MsXezDSVPiJdZX+acmXNs7+pmbzTZCQjK2YZWFyUlwnLXKrtt6JfP&#10;mzdzSkJktmXaWdHQgwj0Zv361ar3S1G7zulWAEESG5a9b2gXo18WReCdMCxcOC8sbkoHhkWcwrZo&#10;gfXIbnRRl+VV0TtoPTguQsDVu2GTrjO/lILHeymDiEQ3FHuLOUKOTykW6xVbboH5TvGxDfYPXRim&#10;LBadqO5YZOQ7qL+ojOLggpPxgjtTOCkVF1kDqqnKF2oeO+ZF1oLmBD/ZFP4fLf+4ewCi2obOKLHM&#10;4BFt9K+faD9pwakoyCx51PuwxNRH/wDjLOAwCd5LMOmLUsg++3qYfBX7SDguXi3mVbVA+znu1YtZ&#10;fZ1Ji2e0hxDfC2dIGjQU1LaL7wBcn01luw8hZnfbsUfWfq0okUbjYe2YJnV5eX08zJOc+jTn7by8&#10;XCQxWHdkxNGxcqLXNkXrNkrrIS+tFEn8IDeP4kGLIfuTkGgdCqxzm/nSilsNBFtqKONc2FiNFbXF&#10;7ASTSD4Bq3NAPYHG3AQT+TJPwPIc8M+KEyJXdTZOYKOsg3ME7bdju3LIP6ofNCf5T6494I3BJx/v&#10;MUjt+oZyrTwlnYMfL9cg6ls3vD1mOWY0NGZHEhfe6Xwa4/tLj+Z0nos//yXWvwEAAP//AwBQSwME&#10;FAAGAAgAAAAhAJagRlPfAAAACgEAAA8AAABkcnMvZG93bnJldi54bWxMj8FOwzAQRO+V+Adrkbi1&#10;TiCxmhCngkogeqQg9erESxKI7RC7rfn7Lic47a5mNPum2kQzshPOfnBWQrpKgKFtnR5sJ+H97Wm5&#10;BuaDslqNzqKEH/Swqa8WlSq1O9tXPO1DxyjE+lJJ6EOYSs5926NRfuUmtKR9uNmoQOfccT2rM4Wb&#10;kd8mieBGDZY+9GrCbY/t1/5oJBTbQ/aSf34XzzvRiAIPMe7yRylvruPDPbCAMfyZ4Ref0KEmpsYd&#10;rfZslLDM7tKMvKTkNMkhxJraNbSkBfC64v8r1BcAAAD//wMAUEsBAi0AFAAGAAgAAAAhALaDOJL+&#10;AAAA4QEAABMAAAAAAAAAAAAAAAAAAAAAAFtDb250ZW50X1R5cGVzXS54bWxQSwECLQAUAAYACAAA&#10;ACEAOP0h/9YAAACUAQAACwAAAAAAAAAAAAAAAAAvAQAAX3JlbHMvLnJlbHNQSwECLQAUAAYACAAA&#10;ACEA75e2bBYCAABtBAAADgAAAAAAAAAAAAAAAAAuAgAAZHJzL2Uyb0RvYy54bWxQSwECLQAUAAYA&#10;CAAAACEAlqBGU98AAAAKAQAADwAAAAAAAAAAAAAAAABwBAAAZHJzL2Rvd25yZXYueG1sUEsFBgAA&#10;AAAEAAQA8wAAAHwFAAAAAA==&#10;" adj="21161,8600" fillcolor="white [3201]" stroked="f" strokeweight="1pt"/>
                  </w:pict>
                </mc:Fallback>
              </mc:AlternateContent>
            </w:r>
            <w:r w:rsidR="008872E3"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</w:t>
            </w:r>
          </w:p>
        </w:tc>
        <w:tc>
          <w:tcPr>
            <w:tcW w:w="2275" w:type="dxa"/>
            <w:shd w:val="clear" w:color="auto" w:fill="1C819A"/>
            <w:hideMark/>
          </w:tcPr>
          <w:p w14:paraId="6173EF4E" w14:textId="77777777" w:rsidR="008872E3" w:rsidRPr="003C0D0B" w:rsidRDefault="008872E3" w:rsidP="0062298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 majeure</w:t>
            </w:r>
          </w:p>
        </w:tc>
        <w:tc>
          <w:tcPr>
            <w:tcW w:w="2309" w:type="dxa"/>
            <w:vMerge w:val="restart"/>
            <w:shd w:val="clear" w:color="auto" w:fill="1C819A"/>
            <w:hideMark/>
          </w:tcPr>
          <w:p w14:paraId="37B07F45" w14:textId="77777777" w:rsidR="008872E3" w:rsidRPr="003C0D0B" w:rsidRDefault="008872E3" w:rsidP="00622988">
            <w:pPr>
              <w:spacing w:before="40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Fin d'éclosion</w:t>
            </w:r>
          </w:p>
        </w:tc>
      </w:tr>
      <w:tr w:rsidR="008872E3" w:rsidRPr="003C0D0B" w14:paraId="6DED6437" w14:textId="77777777" w:rsidTr="001429B9">
        <w:trPr>
          <w:trHeight w:val="549"/>
        </w:trPr>
        <w:tc>
          <w:tcPr>
            <w:tcW w:w="2889" w:type="dxa"/>
            <w:vMerge/>
            <w:shd w:val="clear" w:color="auto" w:fill="279CBA"/>
            <w:vAlign w:val="center"/>
            <w:hideMark/>
          </w:tcPr>
          <w:p w14:paraId="28D12276" w14:textId="77777777" w:rsidR="008872E3" w:rsidRPr="003C0D0B" w:rsidRDefault="008872E3" w:rsidP="0062298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vMerge/>
            <w:shd w:val="clear" w:color="auto" w:fill="279CBA"/>
            <w:noWrap/>
            <w:vAlign w:val="center"/>
            <w:hideMark/>
          </w:tcPr>
          <w:p w14:paraId="7A23C1BC" w14:textId="77777777" w:rsidR="008872E3" w:rsidRPr="003C0D0B" w:rsidRDefault="008872E3" w:rsidP="0062298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shd w:val="clear" w:color="auto" w:fill="1C819A"/>
            <w:vAlign w:val="center"/>
            <w:hideMark/>
          </w:tcPr>
          <w:p w14:paraId="48CC4454" w14:textId="77777777" w:rsidR="008872E3" w:rsidRPr="003C0D0B" w:rsidRDefault="008872E3" w:rsidP="0062298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Mesures à appliquer</w:t>
            </w:r>
          </w:p>
        </w:tc>
        <w:tc>
          <w:tcPr>
            <w:tcW w:w="2291" w:type="dxa"/>
            <w:shd w:val="clear" w:color="auto" w:fill="1C819A"/>
            <w:vAlign w:val="center"/>
            <w:hideMark/>
          </w:tcPr>
          <w:p w14:paraId="5F662E3E" w14:textId="77777777" w:rsidR="008872E3" w:rsidRPr="003C0D0B" w:rsidRDefault="008872E3" w:rsidP="0062298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275" w:type="dxa"/>
            <w:shd w:val="clear" w:color="auto" w:fill="1C819A"/>
            <w:vAlign w:val="center"/>
            <w:hideMark/>
          </w:tcPr>
          <w:p w14:paraId="6E08F7A8" w14:textId="77777777" w:rsidR="008872E3" w:rsidRPr="003C0D0B" w:rsidRDefault="008872E3" w:rsidP="0062298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309" w:type="dxa"/>
            <w:vMerge/>
            <w:shd w:val="clear" w:color="auto" w:fill="279CBA"/>
            <w:hideMark/>
          </w:tcPr>
          <w:p w14:paraId="6911E0E3" w14:textId="77777777" w:rsidR="008872E3" w:rsidRPr="003C0D0B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8872E3" w:rsidRPr="003C0D0B" w14:paraId="7F8CF954" w14:textId="77777777" w:rsidTr="001429B9">
        <w:trPr>
          <w:trHeight w:val="624"/>
        </w:trPr>
        <w:tc>
          <w:tcPr>
            <w:tcW w:w="2889" w:type="dxa"/>
            <w:shd w:val="clear" w:color="auto" w:fill="auto"/>
            <w:vAlign w:val="center"/>
            <w:hideMark/>
          </w:tcPr>
          <w:p w14:paraId="472A8692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color w:val="000000"/>
                <w:sz w:val="17"/>
                <w:szCs w:val="17"/>
                <w:lang w:eastAsia="fr-CA"/>
              </w:rPr>
              <w:t>Ordonnances collectives, politiques et procédures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14:paraId="45795ACB" w14:textId="77777777" w:rsidR="008872E3" w:rsidRPr="005160EE" w:rsidRDefault="008872E3" w:rsidP="007603A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50509B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50509B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Disponibles</w:t>
            </w:r>
          </w:p>
          <w:p w14:paraId="5B9CE9B9" w14:textId="77777777" w:rsidR="008872E3" w:rsidRPr="005160EE" w:rsidRDefault="008872E3" w:rsidP="007603A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50509B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50509B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Connues</w:t>
            </w:r>
          </w:p>
        </w:tc>
        <w:tc>
          <w:tcPr>
            <w:tcW w:w="2292" w:type="dxa"/>
            <w:shd w:val="clear" w:color="auto" w:fill="auto"/>
            <w:hideMark/>
          </w:tcPr>
          <w:p w14:paraId="2DBF3F17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1" w:type="dxa"/>
            <w:shd w:val="clear" w:color="auto" w:fill="auto"/>
            <w:hideMark/>
          </w:tcPr>
          <w:p w14:paraId="1CE429E1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75" w:type="dxa"/>
            <w:shd w:val="clear" w:color="auto" w:fill="auto"/>
            <w:hideMark/>
          </w:tcPr>
          <w:p w14:paraId="78274C04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309" w:type="dxa"/>
            <w:shd w:val="clear" w:color="auto" w:fill="auto"/>
            <w:hideMark/>
          </w:tcPr>
          <w:p w14:paraId="169C26E6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8872E3" w:rsidRPr="003C0D0B" w14:paraId="2F277F0B" w14:textId="77777777" w:rsidTr="001429B9">
        <w:trPr>
          <w:trHeight w:val="941"/>
        </w:trPr>
        <w:tc>
          <w:tcPr>
            <w:tcW w:w="2889" w:type="dxa"/>
            <w:shd w:val="clear" w:color="auto" w:fill="D8E9EE"/>
            <w:vAlign w:val="center"/>
            <w:hideMark/>
          </w:tcPr>
          <w:p w14:paraId="5E45F90F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Surveillance et triage</w:t>
            </w:r>
          </w:p>
        </w:tc>
        <w:tc>
          <w:tcPr>
            <w:tcW w:w="2292" w:type="dxa"/>
            <w:shd w:val="clear" w:color="auto" w:fill="D8E9EE"/>
            <w:hideMark/>
          </w:tcPr>
          <w:p w14:paraId="3D70A3DE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Processus en place pour identification rapide des cas </w:t>
            </w:r>
          </w:p>
          <w:p w14:paraId="254B5950" w14:textId="77777777" w:rsidR="008872E3" w:rsidRPr="005160EE" w:rsidRDefault="008872E3" w:rsidP="0067562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Corridor de soins déterminé </w:t>
            </w:r>
            <w:r w:rsidR="0067562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et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connu</w:t>
            </w:r>
          </w:p>
          <w:p w14:paraId="56AE077C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hAnsi="HelveticaNeueLT Std"/>
                <w:sz w:val="17"/>
                <w:szCs w:val="17"/>
              </w:rPr>
            </w:pPr>
            <w:r w:rsidRPr="005160EE">
              <w:rPr>
                <w:rFonts w:ascii="Arial" w:hAnsi="Arial" w:cs="Arial"/>
                <w:sz w:val="17"/>
                <w:szCs w:val="17"/>
              </w:rPr>
              <w:t>□</w:t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 xml:space="preserve"> </w:t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Accès</w:t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 xml:space="preserve"> rapide à un test de laboratoire reconnu</w:t>
            </w:r>
          </w:p>
          <w:p w14:paraId="6D620D71" w14:textId="77777777" w:rsidR="006C507E" w:rsidRPr="005160EE" w:rsidRDefault="006C507E" w:rsidP="006C507E">
            <w:pPr>
              <w:spacing w:after="0" w:line="240" w:lineRule="auto"/>
              <w:ind w:left="150" w:hanging="15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 xml:space="preserve">□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Zone distincte pour</w:t>
            </w:r>
            <w:r w:rsidR="00705A49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asseoir les usagers avec un syndrome d’allure grippale (SAG) </w:t>
            </w:r>
          </w:p>
        </w:tc>
        <w:tc>
          <w:tcPr>
            <w:tcW w:w="2292" w:type="dxa"/>
            <w:shd w:val="clear" w:color="auto" w:fill="D8E9EE"/>
            <w:hideMark/>
          </w:tcPr>
          <w:p w14:paraId="65AA8961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Suivi des contacts</w:t>
            </w:r>
          </w:p>
        </w:tc>
        <w:tc>
          <w:tcPr>
            <w:tcW w:w="2291" w:type="dxa"/>
            <w:shd w:val="clear" w:color="auto" w:fill="D8E9EE"/>
            <w:hideMark/>
          </w:tcPr>
          <w:p w14:paraId="5A654CA4" w14:textId="77777777" w:rsidR="008872E3" w:rsidRPr="005160EE" w:rsidRDefault="007603A6" w:rsidP="007603A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320B2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Suivre quotidiennement l’ampleur de l’éclosion et de son évolution</w:t>
            </w:r>
          </w:p>
          <w:p w14:paraId="7B3A19D3" w14:textId="77777777" w:rsidR="00320B20" w:rsidRPr="005160EE" w:rsidRDefault="007603A6" w:rsidP="007603A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320B2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Suivre les informations sur les virus</w:t>
            </w:r>
            <w:r w:rsidR="00971D8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, souches</w:t>
            </w:r>
            <w:r w:rsidR="00320B2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en circulation, la morbidité attendue et la résistance de l’influenza aux antiviraux dans la communauté</w:t>
            </w:r>
          </w:p>
        </w:tc>
        <w:tc>
          <w:tcPr>
            <w:tcW w:w="2275" w:type="dxa"/>
            <w:shd w:val="clear" w:color="auto" w:fill="D8E9EE"/>
            <w:hideMark/>
          </w:tcPr>
          <w:p w14:paraId="7EFDA338" w14:textId="77777777" w:rsidR="008872E3" w:rsidRPr="005160EE" w:rsidRDefault="007603A6" w:rsidP="007603A6">
            <w:pPr>
              <w:spacing w:after="0" w:line="240" w:lineRule="auto"/>
              <w:ind w:left="170" w:hanging="170"/>
              <w:rPr>
                <w:rFonts w:eastAsia="Times New Roman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971D8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</w:t>
            </w:r>
            <w:r w:rsidR="00FC130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uivre la situation épidémiologique </w:t>
            </w:r>
            <w:r w:rsidR="00971D8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locale </w:t>
            </w:r>
            <w:r w:rsidR="00D234BC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quotidiennement</w:t>
            </w:r>
          </w:p>
        </w:tc>
        <w:tc>
          <w:tcPr>
            <w:tcW w:w="2309" w:type="dxa"/>
            <w:shd w:val="clear" w:color="auto" w:fill="D8E9EE"/>
            <w:hideMark/>
          </w:tcPr>
          <w:p w14:paraId="636B8704" w14:textId="77777777" w:rsidR="008872E3" w:rsidRPr="005160EE" w:rsidRDefault="007603A6" w:rsidP="007603A6">
            <w:pPr>
              <w:pStyle w:val="Puce1"/>
              <w:numPr>
                <w:ilvl w:val="0"/>
                <w:numId w:val="0"/>
              </w:numPr>
              <w:spacing w:after="80" w:line="240" w:lineRule="auto"/>
              <w:ind w:left="170" w:hanging="170"/>
              <w:rPr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971D86" w:rsidRPr="005160EE">
              <w:rPr>
                <w:rFonts w:eastAsia="Times New Roman" w:cs="Times New Roman"/>
                <w:color w:val="000000"/>
                <w:sz w:val="17"/>
                <w:szCs w:val="17"/>
                <w:lang w:eastAsia="fr-CA"/>
              </w:rPr>
              <w:t>Poursuivre la surveillance active de nouveaux cas pendant la période d’activité des infections respiratoires</w:t>
            </w:r>
          </w:p>
        </w:tc>
      </w:tr>
      <w:tr w:rsidR="008872E3" w:rsidRPr="003C0D0B" w14:paraId="07BF0C42" w14:textId="77777777" w:rsidTr="001429B9">
        <w:trPr>
          <w:trHeight w:val="935"/>
        </w:trPr>
        <w:tc>
          <w:tcPr>
            <w:tcW w:w="2889" w:type="dxa"/>
            <w:shd w:val="clear" w:color="auto" w:fill="auto"/>
            <w:vAlign w:val="center"/>
            <w:hideMark/>
          </w:tcPr>
          <w:p w14:paraId="194193A1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Visiteurs</w:t>
            </w:r>
          </w:p>
        </w:tc>
        <w:tc>
          <w:tcPr>
            <w:tcW w:w="2292" w:type="dxa"/>
            <w:shd w:val="clear" w:color="auto" w:fill="auto"/>
            <w:hideMark/>
          </w:tcPr>
          <w:p w14:paraId="03C937AC" w14:textId="77777777" w:rsidR="008872E3" w:rsidRPr="005160EE" w:rsidRDefault="007603A6" w:rsidP="007603A6">
            <w:pPr>
              <w:spacing w:after="0" w:line="240" w:lineRule="auto"/>
              <w:ind w:left="170" w:hanging="170"/>
              <w:rPr>
                <w:rFonts w:eastAsia="Times New Roman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971D8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A</w:t>
            </w:r>
            <w:r w:rsidR="006C507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ffiches portant sur l’hygiène et l’étiquette respiratoire dans les endroits stratégiques</w:t>
            </w:r>
          </w:p>
          <w:p w14:paraId="59696D17" w14:textId="77777777" w:rsidR="006C507E" w:rsidRPr="005160EE" w:rsidRDefault="007603A6" w:rsidP="007603A6">
            <w:pPr>
              <w:spacing w:after="0" w:line="240" w:lineRule="auto"/>
              <w:ind w:left="170" w:hanging="170"/>
              <w:rPr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6C507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CHSLD</w:t>
            </w:r>
            <w:r w:rsidR="00971D8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:</w:t>
            </w:r>
            <w:r w:rsidR="006C507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lettre d’information</w:t>
            </w:r>
            <w:r w:rsidR="00971D8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remise</w:t>
            </w:r>
            <w:r w:rsidR="006C507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aux familles</w:t>
            </w:r>
            <w:r w:rsidR="006C507E" w:rsidRPr="005160EE">
              <w:rPr>
                <w:rFonts w:eastAsia="Times New Roman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  <w:hideMark/>
          </w:tcPr>
          <w:p w14:paraId="3C8B009E" w14:textId="77777777" w:rsidR="008872E3" w:rsidRPr="005160EE" w:rsidRDefault="007603A6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291849"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291849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Informer les visiteurs des mesures de prévention et de contrôle à respecter</w:t>
            </w:r>
          </w:p>
        </w:tc>
        <w:tc>
          <w:tcPr>
            <w:tcW w:w="2291" w:type="dxa"/>
            <w:shd w:val="clear" w:color="auto" w:fill="auto"/>
            <w:hideMark/>
          </w:tcPr>
          <w:p w14:paraId="3BA39181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Affiche à l’entrée de l’unité</w:t>
            </w:r>
          </w:p>
          <w:p w14:paraId="0D11CF1E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Limiter les visiteurs </w:t>
            </w:r>
          </w:p>
          <w:p w14:paraId="7F436FC9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Interdire l’accès aux aires d’entreposage</w:t>
            </w:r>
          </w:p>
          <w:p w14:paraId="59247392" w14:textId="77777777" w:rsidR="001719F6" w:rsidRPr="005160EE" w:rsidRDefault="007603A6" w:rsidP="00477B10">
            <w:pPr>
              <w:pStyle w:val="Puce1"/>
              <w:numPr>
                <w:ilvl w:val="0"/>
                <w:numId w:val="0"/>
              </w:numPr>
              <w:spacing w:after="0" w:line="240" w:lineRule="auto"/>
              <w:ind w:left="170" w:hanging="170"/>
              <w:rPr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971D86" w:rsidRPr="005160EE">
              <w:rPr>
                <w:rFonts w:eastAsia="Times New Roman" w:cs="Times New Roman"/>
                <w:color w:val="000000"/>
                <w:sz w:val="17"/>
                <w:szCs w:val="17"/>
                <w:lang w:eastAsia="fr-CA"/>
              </w:rPr>
              <w:t>En CHSLD</w:t>
            </w:r>
            <w:r w:rsidR="001719F6" w:rsidRPr="005160EE">
              <w:rPr>
                <w:rFonts w:eastAsia="Times New Roman" w:cs="Times New Roman"/>
                <w:color w:val="000000"/>
                <w:sz w:val="17"/>
                <w:szCs w:val="17"/>
                <w:lang w:eastAsia="fr-CA"/>
              </w:rPr>
              <w:t>, aviser les familles selon les procédures locales déterminées</w:t>
            </w:r>
          </w:p>
        </w:tc>
        <w:tc>
          <w:tcPr>
            <w:tcW w:w="2275" w:type="dxa"/>
            <w:shd w:val="clear" w:color="auto" w:fill="auto"/>
            <w:hideMark/>
          </w:tcPr>
          <w:p w14:paraId="66728420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Interdire les visiteurs sauf pour raisons humanitaires ou visiteur participant aux soins </w:t>
            </w:r>
          </w:p>
        </w:tc>
        <w:tc>
          <w:tcPr>
            <w:tcW w:w="2309" w:type="dxa"/>
            <w:shd w:val="clear" w:color="auto" w:fill="auto"/>
            <w:hideMark/>
          </w:tcPr>
          <w:p w14:paraId="5243A288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8872E3" w:rsidRPr="003C0D0B" w14:paraId="7B524DCC" w14:textId="77777777" w:rsidTr="001429B9">
        <w:trPr>
          <w:trHeight w:val="735"/>
        </w:trPr>
        <w:tc>
          <w:tcPr>
            <w:tcW w:w="2889" w:type="dxa"/>
            <w:shd w:val="clear" w:color="auto" w:fill="D8E9EE"/>
            <w:vAlign w:val="center"/>
            <w:hideMark/>
          </w:tcPr>
          <w:p w14:paraId="4745F314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Formation</w:t>
            </w:r>
          </w:p>
        </w:tc>
        <w:tc>
          <w:tcPr>
            <w:tcW w:w="2292" w:type="dxa"/>
            <w:shd w:val="clear" w:color="auto" w:fill="D8E9EE"/>
            <w:hideMark/>
          </w:tcPr>
          <w:p w14:paraId="618B1B75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Produite et donnée aux travailleurs de la santé </w:t>
            </w:r>
          </w:p>
        </w:tc>
        <w:tc>
          <w:tcPr>
            <w:tcW w:w="2292" w:type="dxa"/>
            <w:shd w:val="clear" w:color="auto" w:fill="D8E9EE"/>
            <w:hideMark/>
          </w:tcPr>
          <w:p w14:paraId="30A94580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1" w:type="dxa"/>
            <w:shd w:val="clear" w:color="auto" w:fill="D8E9EE"/>
            <w:hideMark/>
          </w:tcPr>
          <w:p w14:paraId="68DC0BDA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95461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="001719F6" w:rsidRPr="005160EE">
              <w:rPr>
                <w:rFonts w:ascii="HelveticaNeueLT Std" w:hAnsi="HelveticaNeueLT Std"/>
                <w:sz w:val="17"/>
                <w:szCs w:val="17"/>
              </w:rPr>
              <w:t>Réaliser au moins une rencontre avec les travailleurs de la santé de tous les quarts de travail</w:t>
            </w:r>
          </w:p>
        </w:tc>
        <w:tc>
          <w:tcPr>
            <w:tcW w:w="2275" w:type="dxa"/>
            <w:shd w:val="clear" w:color="auto" w:fill="D8E9EE"/>
            <w:hideMark/>
          </w:tcPr>
          <w:p w14:paraId="5CBF878E" w14:textId="77777777" w:rsidR="008872E3" w:rsidRPr="005160EE" w:rsidRDefault="008872E3" w:rsidP="00477B10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Réaliser des rencontres </w:t>
            </w:r>
            <w:r w:rsidR="00971D86" w:rsidRPr="005160EE">
              <w:rPr>
                <w:rFonts w:ascii="HelveticaNeueLT Std" w:hAnsi="HelveticaNeueLT Std"/>
                <w:sz w:val="17"/>
                <w:szCs w:val="17"/>
              </w:rPr>
              <w:t>avec les travailleurs de la santé de tous les quarts de travail pour revoir les processus, objectifs et identifier les problématiques</w:t>
            </w:r>
          </w:p>
        </w:tc>
        <w:tc>
          <w:tcPr>
            <w:tcW w:w="2309" w:type="dxa"/>
            <w:shd w:val="clear" w:color="auto" w:fill="D8E9EE"/>
            <w:hideMark/>
          </w:tcPr>
          <w:p w14:paraId="3AC038DD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8872E3" w:rsidRPr="003C0D0B" w14:paraId="468392BA" w14:textId="77777777" w:rsidTr="001429B9">
        <w:trPr>
          <w:trHeight w:val="531"/>
        </w:trPr>
        <w:tc>
          <w:tcPr>
            <w:tcW w:w="2889" w:type="dxa"/>
            <w:shd w:val="clear" w:color="auto" w:fill="auto"/>
            <w:vAlign w:val="center"/>
            <w:hideMark/>
          </w:tcPr>
          <w:p w14:paraId="1F7F914F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Hygiène des mains</w:t>
            </w:r>
          </w:p>
        </w:tc>
        <w:tc>
          <w:tcPr>
            <w:tcW w:w="2292" w:type="dxa"/>
            <w:shd w:val="clear" w:color="auto" w:fill="auto"/>
            <w:hideMark/>
          </w:tcPr>
          <w:p w14:paraId="7BF64376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Postes d’hygiène des mains </w:t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>disponibles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et accessibles</w:t>
            </w:r>
          </w:p>
        </w:tc>
        <w:tc>
          <w:tcPr>
            <w:tcW w:w="2292" w:type="dxa"/>
            <w:shd w:val="clear" w:color="auto" w:fill="auto"/>
            <w:hideMark/>
          </w:tcPr>
          <w:p w14:paraId="3186F5D0" w14:textId="77777777" w:rsidR="008872E3" w:rsidRPr="005160EE" w:rsidRDefault="008872E3" w:rsidP="00477B10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>Renforcer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l’hygiène des mains </w:t>
            </w:r>
            <w:r w:rsidR="0067562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et étiquette respiratoire</w:t>
            </w:r>
          </w:p>
        </w:tc>
        <w:tc>
          <w:tcPr>
            <w:tcW w:w="2291" w:type="dxa"/>
            <w:shd w:val="clear" w:color="auto" w:fill="auto"/>
            <w:hideMark/>
          </w:tcPr>
          <w:p w14:paraId="2190EE6D" w14:textId="77777777" w:rsidR="008872E3" w:rsidRPr="005160EE" w:rsidRDefault="008872E3" w:rsidP="0067562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5" w:type="dxa"/>
            <w:shd w:val="clear" w:color="auto" w:fill="auto"/>
            <w:hideMark/>
          </w:tcPr>
          <w:p w14:paraId="50179879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309" w:type="dxa"/>
            <w:shd w:val="clear" w:color="auto" w:fill="auto"/>
            <w:hideMark/>
          </w:tcPr>
          <w:p w14:paraId="344141BC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</w:tbl>
    <w:p w14:paraId="40A0C3B6" w14:textId="11EA4499" w:rsidR="00BF611E" w:rsidRDefault="00BF611E"/>
    <w:p w14:paraId="654575D5" w14:textId="77777777" w:rsidR="00B47C13" w:rsidRDefault="00B47C13">
      <w:pPr>
        <w:sectPr w:rsidR="00B47C13" w:rsidSect="00B47C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1134" w:right="720" w:bottom="1134" w:left="72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2299"/>
        <w:gridCol w:w="2299"/>
        <w:gridCol w:w="2298"/>
        <w:gridCol w:w="2282"/>
        <w:gridCol w:w="2316"/>
      </w:tblGrid>
      <w:tr w:rsidR="00F13427" w:rsidRPr="003C0D0B" w14:paraId="106B0901" w14:textId="77777777" w:rsidTr="001429B9">
        <w:trPr>
          <w:trHeight w:val="420"/>
        </w:trPr>
        <w:tc>
          <w:tcPr>
            <w:tcW w:w="2889" w:type="dxa"/>
            <w:vMerge w:val="restart"/>
            <w:shd w:val="clear" w:color="auto" w:fill="1C819A"/>
            <w:vAlign w:val="center"/>
            <w:hideMark/>
          </w:tcPr>
          <w:p w14:paraId="3AB7558A" w14:textId="77777777" w:rsidR="00F13427" w:rsidRPr="003C0D0B" w:rsidRDefault="00F13427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lastRenderedPageBreak/>
              <w:t>Item</w:t>
            </w:r>
          </w:p>
        </w:tc>
        <w:tc>
          <w:tcPr>
            <w:tcW w:w="2292" w:type="dxa"/>
            <w:vMerge w:val="restart"/>
            <w:shd w:val="clear" w:color="auto" w:fill="1C819A"/>
            <w:hideMark/>
          </w:tcPr>
          <w:p w14:paraId="265953C5" w14:textId="77777777" w:rsidR="00F13427" w:rsidRPr="003C0D0B" w:rsidRDefault="00F13427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Préparation</w:t>
            </w:r>
          </w:p>
        </w:tc>
        <w:tc>
          <w:tcPr>
            <w:tcW w:w="2292" w:type="dxa"/>
            <w:shd w:val="clear" w:color="auto" w:fill="1C819A"/>
            <w:hideMark/>
          </w:tcPr>
          <w:p w14:paraId="4BEF6EBA" w14:textId="77777777" w:rsidR="00F13427" w:rsidRPr="003C0D0B" w:rsidRDefault="00F13427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Cas sporadiques</w:t>
            </w:r>
          </w:p>
        </w:tc>
        <w:tc>
          <w:tcPr>
            <w:tcW w:w="2291" w:type="dxa"/>
            <w:shd w:val="clear" w:color="auto" w:fill="1C819A"/>
            <w:hideMark/>
          </w:tcPr>
          <w:p w14:paraId="3B77BE52" w14:textId="77777777" w:rsidR="00F13427" w:rsidRPr="003C0D0B" w:rsidRDefault="00F13427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noProof/>
                <w:color w:val="000000"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2E92C5" wp14:editId="3CC173AC">
                      <wp:simplePos x="0" y="0"/>
                      <wp:positionH relativeFrom="column">
                        <wp:posOffset>-2739390</wp:posOffset>
                      </wp:positionH>
                      <wp:positionV relativeFrom="paragraph">
                        <wp:posOffset>97790</wp:posOffset>
                      </wp:positionV>
                      <wp:extent cx="6981190" cy="295275"/>
                      <wp:effectExtent l="0" t="0" r="0" b="9525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1190" cy="295275"/>
                              </a:xfrm>
                              <a:prstGeom prst="rightArrow">
                                <a:avLst>
                                  <a:gd name="adj1" fmla="val 20370"/>
                                  <a:gd name="adj2" fmla="val 48039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527E3" id="Flèche droite 3" o:spid="_x0000_s1026" type="#_x0000_t13" style="position:absolute;margin-left:-215.7pt;margin-top:7.7pt;width:549.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DpFgIAAG0EAAAOAAAAZHJzL2Uyb0RvYy54bWysVNtuEzEQfUfiHyy/072EtkmUTYVahRdE&#10;Kwof4HrtrME3jU024Yv4D36MsXezDSVPiJdZX+acmXNs7+pmbzTZCQjK2YZWFyUlwnLXKrtt6JfP&#10;mzdzSkJktmXaWdHQgwj0Zv361ar3S1G7zulWAEESG5a9b2gXo18WReCdMCxcOC8sbkoHhkWcwrZo&#10;gfXIbnRRl+VV0TtoPTguQsDVu2GTrjO/lILHeymDiEQ3FHuLOUKOTykW6xVbboH5TvGxDfYPXRim&#10;LBadqO5YZOQ7qL+ojOLggpPxgjtTOCkVF1kDqqnKF2oeO+ZF1oLmBD/ZFP4fLf+4ewCi2obOKLHM&#10;4BFt9K+faD9pwakoyCx51PuwxNRH/wDjLOAwCd5LMOmLUsg++3qYfBX7SDguXi3mVbVA+znu1YvL&#10;+voykRbPaA8hvhfOkDRoKKhtF98BuD6bynYfQszutmOPrP1aUSKNxsPaMU3qcnZ9PMyTnPo05+28&#10;nC3GuiMjdnCsnOi1TdG6jdJ66C+tFEn8IDeP4kGLIfuTkGgdCqxzm/nSilsNBFtqKONc2FiNFbXF&#10;7ASTSD4Bq3NAPYHG3AQT+TJPwPIc8M+KEyJXdTZOYKOsg3ME7bdju3LIP6ofNCf5T6494I3BJx/v&#10;MUjt+oZyrTwlnYMfL9cg6ls3vD1mOWY0NGZHEhfe6XwLxveXHs3pPBd//kusfwMAAP//AwBQSwME&#10;FAAGAAgAAAAhAJagRlPfAAAACgEAAA8AAABkcnMvZG93bnJldi54bWxMj8FOwzAQRO+V+Adrkbi1&#10;TiCxmhCngkogeqQg9erESxKI7RC7rfn7Lic47a5mNPum2kQzshPOfnBWQrpKgKFtnR5sJ+H97Wm5&#10;BuaDslqNzqKEH/Swqa8WlSq1O9tXPO1DxyjE+lJJ6EOYSs5926NRfuUmtKR9uNmoQOfccT2rM4Wb&#10;kd8mieBGDZY+9GrCbY/t1/5oJBTbQ/aSf34XzzvRiAIPMe7yRylvruPDPbCAMfyZ4Ref0KEmpsYd&#10;rfZslLDM7tKMvKTkNMkhxJraNbSkBfC64v8r1BcAAAD//wMAUEsBAi0AFAAGAAgAAAAhALaDOJL+&#10;AAAA4QEAABMAAAAAAAAAAAAAAAAAAAAAAFtDb250ZW50X1R5cGVzXS54bWxQSwECLQAUAAYACAAA&#10;ACEAOP0h/9YAAACUAQAACwAAAAAAAAAAAAAAAAAvAQAAX3JlbHMvLnJlbHNQSwECLQAUAAYACAAA&#10;ACEA8TQg6RYCAABtBAAADgAAAAAAAAAAAAAAAAAuAgAAZHJzL2Uyb0RvYy54bWxQSwECLQAUAAYA&#10;CAAAACEAlqBGU98AAAAKAQAADwAAAAAAAAAAAAAAAABwBAAAZHJzL2Rvd25yZXYueG1sUEsFBgAA&#10;AAAEAAQA8wAAAHwFAAAAAA==&#10;" adj="21161,8600" fillcolor="white [3201]" stroked="f" strokeweight="1pt"/>
                  </w:pict>
                </mc:Fallback>
              </mc:AlternateContent>
            </w: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</w:t>
            </w:r>
          </w:p>
        </w:tc>
        <w:tc>
          <w:tcPr>
            <w:tcW w:w="2275" w:type="dxa"/>
            <w:shd w:val="clear" w:color="auto" w:fill="1C819A"/>
            <w:hideMark/>
          </w:tcPr>
          <w:p w14:paraId="7BCD2714" w14:textId="77777777" w:rsidR="00F13427" w:rsidRPr="003C0D0B" w:rsidRDefault="00F13427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 majeure</w:t>
            </w:r>
          </w:p>
        </w:tc>
        <w:tc>
          <w:tcPr>
            <w:tcW w:w="2309" w:type="dxa"/>
            <w:vMerge w:val="restart"/>
            <w:shd w:val="clear" w:color="auto" w:fill="1C819A"/>
            <w:hideMark/>
          </w:tcPr>
          <w:p w14:paraId="08611B90" w14:textId="77777777" w:rsidR="00F13427" w:rsidRPr="003C0D0B" w:rsidRDefault="00F13427" w:rsidP="00754848">
            <w:pPr>
              <w:spacing w:before="40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Fin d'éclosion</w:t>
            </w:r>
          </w:p>
        </w:tc>
      </w:tr>
      <w:tr w:rsidR="00F13427" w:rsidRPr="003C0D0B" w14:paraId="146A3FB3" w14:textId="77777777" w:rsidTr="001429B9">
        <w:trPr>
          <w:trHeight w:val="549"/>
        </w:trPr>
        <w:tc>
          <w:tcPr>
            <w:tcW w:w="2889" w:type="dxa"/>
            <w:vMerge/>
            <w:shd w:val="clear" w:color="auto" w:fill="1C819A"/>
            <w:vAlign w:val="center"/>
            <w:hideMark/>
          </w:tcPr>
          <w:p w14:paraId="75452CD9" w14:textId="77777777" w:rsidR="00F13427" w:rsidRPr="003C0D0B" w:rsidRDefault="00F13427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vMerge/>
            <w:shd w:val="clear" w:color="auto" w:fill="279CBA"/>
            <w:noWrap/>
            <w:vAlign w:val="center"/>
            <w:hideMark/>
          </w:tcPr>
          <w:p w14:paraId="79D67797" w14:textId="77777777" w:rsidR="00F13427" w:rsidRPr="003C0D0B" w:rsidRDefault="00F13427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shd w:val="clear" w:color="auto" w:fill="1C819A"/>
            <w:vAlign w:val="center"/>
            <w:hideMark/>
          </w:tcPr>
          <w:p w14:paraId="33B6D850" w14:textId="77777777" w:rsidR="00F13427" w:rsidRPr="003C0D0B" w:rsidRDefault="00F13427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Mesures à appliquer</w:t>
            </w:r>
          </w:p>
        </w:tc>
        <w:tc>
          <w:tcPr>
            <w:tcW w:w="2291" w:type="dxa"/>
            <w:shd w:val="clear" w:color="auto" w:fill="1C819A"/>
            <w:vAlign w:val="center"/>
            <w:hideMark/>
          </w:tcPr>
          <w:p w14:paraId="089543AA" w14:textId="77777777" w:rsidR="00F13427" w:rsidRPr="003C0D0B" w:rsidRDefault="00F13427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275" w:type="dxa"/>
            <w:shd w:val="clear" w:color="auto" w:fill="1C819A"/>
            <w:vAlign w:val="center"/>
            <w:hideMark/>
          </w:tcPr>
          <w:p w14:paraId="615198FD" w14:textId="77777777" w:rsidR="00F13427" w:rsidRPr="003C0D0B" w:rsidRDefault="00F13427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309" w:type="dxa"/>
            <w:vMerge/>
            <w:shd w:val="clear" w:color="auto" w:fill="279CBA"/>
            <w:hideMark/>
          </w:tcPr>
          <w:p w14:paraId="1266FFA6" w14:textId="77777777" w:rsidR="00F13427" w:rsidRPr="003C0D0B" w:rsidRDefault="00F13427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774D51" w:rsidRPr="003C0D0B" w14:paraId="1DD7C5AA" w14:textId="77777777" w:rsidTr="001429B9">
        <w:trPr>
          <w:trHeight w:val="530"/>
        </w:trPr>
        <w:tc>
          <w:tcPr>
            <w:tcW w:w="2889" w:type="dxa"/>
            <w:vMerge w:val="restart"/>
            <w:shd w:val="clear" w:color="auto" w:fill="D8E9EE"/>
            <w:vAlign w:val="center"/>
            <w:hideMark/>
          </w:tcPr>
          <w:p w14:paraId="4B1A78F0" w14:textId="77777777" w:rsidR="00774D51" w:rsidRPr="005160EE" w:rsidRDefault="00774D51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Pratiques de base et précautions additionnelles</w:t>
            </w:r>
          </w:p>
        </w:tc>
        <w:tc>
          <w:tcPr>
            <w:tcW w:w="2292" w:type="dxa"/>
            <w:vMerge w:val="restart"/>
            <w:shd w:val="clear" w:color="auto" w:fill="D8E9EE"/>
            <w:hideMark/>
          </w:tcPr>
          <w:p w14:paraId="519E70E5" w14:textId="77777777" w:rsidR="00774D51" w:rsidRPr="005160EE" w:rsidRDefault="00774D51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ÉPI nécessaire disponible</w:t>
            </w:r>
          </w:p>
        </w:tc>
        <w:tc>
          <w:tcPr>
            <w:tcW w:w="2292" w:type="dxa"/>
            <w:shd w:val="clear" w:color="auto" w:fill="D8E9EE"/>
            <w:hideMark/>
          </w:tcPr>
          <w:p w14:paraId="465DD5A3" w14:textId="77777777" w:rsidR="00774D51" w:rsidRPr="005160EE" w:rsidRDefault="007603A6" w:rsidP="007603A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774D51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Syndrome d’allure grippale (SAG) ou en attente du résultat d’un test diagnostique :</w:t>
            </w:r>
            <w:r w:rsidR="0032428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CA44C2">
              <w:rPr>
                <w:rFonts w:ascii="HelveticaNeueLT Std" w:hAnsi="HelveticaNeueLT Std"/>
                <w:sz w:val="17"/>
                <w:szCs w:val="17"/>
              </w:rPr>
              <w:t>g</w:t>
            </w:r>
            <w:r w:rsidR="00774D51" w:rsidRPr="005160EE">
              <w:rPr>
                <w:rFonts w:ascii="HelveticaNeueLT Std" w:hAnsi="HelveticaNeueLT Std"/>
                <w:sz w:val="17"/>
                <w:szCs w:val="17"/>
              </w:rPr>
              <w:t>outtelettes</w:t>
            </w:r>
            <w:r w:rsidR="00CA44C2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/</w:t>
            </w:r>
            <w:r w:rsidR="00774D51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contact </w:t>
            </w:r>
          </w:p>
        </w:tc>
        <w:tc>
          <w:tcPr>
            <w:tcW w:w="2291" w:type="dxa"/>
            <w:vMerge w:val="restart"/>
            <w:shd w:val="clear" w:color="auto" w:fill="D8E9EE"/>
            <w:hideMark/>
          </w:tcPr>
          <w:p w14:paraId="18D99CE4" w14:textId="77777777" w:rsidR="00774D51" w:rsidRPr="005160EE" w:rsidRDefault="00F13427" w:rsidP="00F13427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320B2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Pour tous les virus respiratoires et les cas de </w:t>
            </w:r>
            <w:r w:rsidR="0032428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SAG</w:t>
            </w:r>
            <w:r w:rsidR="00320B2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  <w:r w:rsidR="0032428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: </w:t>
            </w:r>
            <w:r w:rsidR="00320B2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gouttelettes/contact</w:t>
            </w:r>
          </w:p>
        </w:tc>
        <w:tc>
          <w:tcPr>
            <w:tcW w:w="2275" w:type="dxa"/>
            <w:vMerge w:val="restart"/>
            <w:shd w:val="clear" w:color="auto" w:fill="D8E9EE"/>
            <w:hideMark/>
          </w:tcPr>
          <w:p w14:paraId="6F64A606" w14:textId="77777777" w:rsidR="00774D51" w:rsidRPr="005160EE" w:rsidRDefault="00774D51" w:rsidP="0032428E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Évaluer et ajuster la durée de l’application des précautions additionnelles pour chaque personne</w:t>
            </w:r>
            <w:r w:rsidR="0032428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au besoin</w:t>
            </w:r>
          </w:p>
        </w:tc>
        <w:tc>
          <w:tcPr>
            <w:tcW w:w="2309" w:type="dxa"/>
            <w:vMerge w:val="restart"/>
            <w:shd w:val="clear" w:color="auto" w:fill="D8E9EE"/>
            <w:hideMark/>
          </w:tcPr>
          <w:p w14:paraId="03423429" w14:textId="77777777" w:rsidR="00774D51" w:rsidRPr="005160EE" w:rsidRDefault="00774D51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774D51" w:rsidRPr="003C0D0B" w14:paraId="747DF0F0" w14:textId="77777777" w:rsidTr="001429B9">
        <w:trPr>
          <w:trHeight w:val="530"/>
        </w:trPr>
        <w:tc>
          <w:tcPr>
            <w:tcW w:w="2889" w:type="dxa"/>
            <w:vMerge/>
            <w:shd w:val="clear" w:color="auto" w:fill="D8E9EE"/>
            <w:vAlign w:val="center"/>
          </w:tcPr>
          <w:p w14:paraId="79C6CA25" w14:textId="77777777" w:rsidR="00774D51" w:rsidRPr="005160EE" w:rsidRDefault="00774D51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vMerge/>
            <w:shd w:val="clear" w:color="auto" w:fill="D8E9EE"/>
          </w:tcPr>
          <w:p w14:paraId="5A45F7E8" w14:textId="77777777" w:rsidR="00774D51" w:rsidRPr="005160EE" w:rsidRDefault="00774D51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shd w:val="clear" w:color="auto" w:fill="D8E9EE"/>
          </w:tcPr>
          <w:p w14:paraId="494472E5" w14:textId="77777777" w:rsidR="00774D51" w:rsidRPr="005160EE" w:rsidRDefault="00F13427" w:rsidP="00F13427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32428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I</w:t>
            </w:r>
            <w:r w:rsidR="00774D51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nfluenza ou virus respiratoire syncytial (VRS) : </w:t>
            </w:r>
            <w:r w:rsidR="00CA44C2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g</w:t>
            </w:r>
            <w:r w:rsidR="00774D51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outtelettes/contact.</w:t>
            </w:r>
          </w:p>
        </w:tc>
        <w:tc>
          <w:tcPr>
            <w:tcW w:w="2291" w:type="dxa"/>
            <w:vMerge/>
            <w:shd w:val="clear" w:color="auto" w:fill="D8E9EE"/>
          </w:tcPr>
          <w:p w14:paraId="61F89F72" w14:textId="77777777" w:rsidR="00774D51" w:rsidRPr="005160EE" w:rsidRDefault="00774D51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5" w:type="dxa"/>
            <w:vMerge/>
            <w:shd w:val="clear" w:color="auto" w:fill="D8E9EE"/>
          </w:tcPr>
          <w:p w14:paraId="1A09B39B" w14:textId="77777777" w:rsidR="00774D51" w:rsidRPr="005160EE" w:rsidRDefault="00774D51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309" w:type="dxa"/>
            <w:vMerge/>
            <w:shd w:val="clear" w:color="auto" w:fill="D8E9EE"/>
          </w:tcPr>
          <w:p w14:paraId="013BF6F6" w14:textId="77777777" w:rsidR="00774D51" w:rsidRPr="005160EE" w:rsidRDefault="00774D51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32428E" w:rsidRPr="003C0D0B" w14:paraId="0C349691" w14:textId="77777777" w:rsidTr="001429B9">
        <w:trPr>
          <w:trHeight w:val="431"/>
        </w:trPr>
        <w:tc>
          <w:tcPr>
            <w:tcW w:w="2889" w:type="dxa"/>
            <w:vMerge/>
            <w:shd w:val="clear" w:color="auto" w:fill="D8E9EE"/>
            <w:vAlign w:val="center"/>
          </w:tcPr>
          <w:p w14:paraId="1E912286" w14:textId="77777777" w:rsidR="0032428E" w:rsidRPr="005160EE" w:rsidRDefault="0032428E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vMerge/>
            <w:shd w:val="clear" w:color="auto" w:fill="D8E9EE"/>
          </w:tcPr>
          <w:p w14:paraId="40E62CF2" w14:textId="77777777" w:rsidR="0032428E" w:rsidRPr="005160EE" w:rsidRDefault="0032428E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shd w:val="clear" w:color="auto" w:fill="D8E9EE"/>
          </w:tcPr>
          <w:p w14:paraId="59571794" w14:textId="65C2CA62" w:rsidR="0032428E" w:rsidRPr="005160EE" w:rsidRDefault="00F13427" w:rsidP="00F13427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32428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Influenza ou VRS négatif </w:t>
            </w:r>
            <w:r w:rsidR="0032428E" w:rsidRPr="002C1F7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et identification d’un autre</w:t>
            </w:r>
            <w:r w:rsidR="002C1F7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virus</w:t>
            </w:r>
            <w:r w:rsidR="00705A49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91" w:type="dxa"/>
            <w:vMerge/>
            <w:shd w:val="clear" w:color="auto" w:fill="D8E9EE"/>
          </w:tcPr>
          <w:p w14:paraId="7D307688" w14:textId="77777777" w:rsidR="0032428E" w:rsidRPr="005160EE" w:rsidRDefault="0032428E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5" w:type="dxa"/>
            <w:vMerge/>
            <w:shd w:val="clear" w:color="auto" w:fill="D8E9EE"/>
          </w:tcPr>
          <w:p w14:paraId="47404394" w14:textId="77777777" w:rsidR="0032428E" w:rsidRPr="005160EE" w:rsidRDefault="0032428E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309" w:type="dxa"/>
            <w:vMerge/>
            <w:shd w:val="clear" w:color="auto" w:fill="D8E9EE"/>
          </w:tcPr>
          <w:p w14:paraId="076D6E7E" w14:textId="77777777" w:rsidR="0032428E" w:rsidRPr="005160EE" w:rsidRDefault="0032428E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1E3DCD" w:rsidRPr="003C0D0B" w14:paraId="7D377A73" w14:textId="77777777" w:rsidTr="001429B9">
        <w:trPr>
          <w:trHeight w:val="2200"/>
        </w:trPr>
        <w:tc>
          <w:tcPr>
            <w:tcW w:w="2889" w:type="dxa"/>
            <w:shd w:val="clear" w:color="auto" w:fill="auto"/>
            <w:vAlign w:val="center"/>
          </w:tcPr>
          <w:p w14:paraId="5880F464" w14:textId="77777777" w:rsidR="001E3DCD" w:rsidRPr="005160EE" w:rsidRDefault="001E3DCD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Précautions additionnelles et particularités</w:t>
            </w:r>
          </w:p>
        </w:tc>
        <w:tc>
          <w:tcPr>
            <w:tcW w:w="2292" w:type="dxa"/>
            <w:shd w:val="clear" w:color="auto" w:fill="auto"/>
          </w:tcPr>
          <w:p w14:paraId="662C979D" w14:textId="77777777" w:rsidR="001E3DCD" w:rsidRPr="005160EE" w:rsidRDefault="001E3DCD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shd w:val="clear" w:color="auto" w:fill="auto"/>
          </w:tcPr>
          <w:p w14:paraId="57C14277" w14:textId="77777777" w:rsidR="001E3DCD" w:rsidRPr="005160EE" w:rsidRDefault="001E3DCD" w:rsidP="00F13427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Précautions additionnelles à appliquer ou adapter :</w:t>
            </w:r>
          </w:p>
          <w:p w14:paraId="2C1FC6AB" w14:textId="77777777" w:rsidR="001E3DCD" w:rsidRPr="005160EE" w:rsidRDefault="00F13427" w:rsidP="00F13427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1E3DC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Pour certaines clientèles avec des troubles cognitifs ou de comportement ou d’adaptation</w:t>
            </w:r>
          </w:p>
          <w:p w14:paraId="5A155620" w14:textId="77777777" w:rsidR="001E3DCD" w:rsidRPr="005160EE" w:rsidRDefault="00F13427" w:rsidP="00F13427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="001E3DC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Pédiatrie </w:t>
            </w:r>
          </w:p>
          <w:p w14:paraId="7F95F8D1" w14:textId="77777777" w:rsidR="001E3DCD" w:rsidRPr="005160EE" w:rsidRDefault="00F13427" w:rsidP="00F13427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="001E3DC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Unité des naissances/ postpartum </w:t>
            </w:r>
          </w:p>
          <w:p w14:paraId="3777590C" w14:textId="77777777" w:rsidR="001E3DCD" w:rsidRPr="005160EE" w:rsidRDefault="00F13427" w:rsidP="00F13427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="001E3DC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Unité de soins néonatale</w:t>
            </w:r>
            <w:r w:rsidR="001E3DCD"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14:paraId="789FE338" w14:textId="77777777" w:rsidR="001E3DCD" w:rsidRPr="005160EE" w:rsidRDefault="001E3DCD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5" w:type="dxa"/>
            <w:shd w:val="clear" w:color="auto" w:fill="auto"/>
          </w:tcPr>
          <w:p w14:paraId="28DCCE96" w14:textId="77777777" w:rsidR="001E3DCD" w:rsidRPr="005160EE" w:rsidRDefault="001E3DCD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309" w:type="dxa"/>
            <w:shd w:val="clear" w:color="auto" w:fill="auto"/>
          </w:tcPr>
          <w:p w14:paraId="39EE120E" w14:textId="77777777" w:rsidR="001E3DCD" w:rsidRPr="005160EE" w:rsidRDefault="001E3DCD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74177E" w:rsidRPr="003C0D0B" w14:paraId="77D86E4C" w14:textId="77777777" w:rsidTr="001429B9">
        <w:trPr>
          <w:trHeight w:val="443"/>
        </w:trPr>
        <w:tc>
          <w:tcPr>
            <w:tcW w:w="2889" w:type="dxa"/>
            <w:vMerge w:val="restart"/>
            <w:shd w:val="clear" w:color="auto" w:fill="D8E9EE"/>
            <w:vAlign w:val="center"/>
          </w:tcPr>
          <w:p w14:paraId="54618609" w14:textId="77777777" w:rsidR="0074177E" w:rsidRPr="005160EE" w:rsidRDefault="0074177E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Durée des mesures</w:t>
            </w:r>
          </w:p>
        </w:tc>
        <w:tc>
          <w:tcPr>
            <w:tcW w:w="2292" w:type="dxa"/>
            <w:vMerge w:val="restart"/>
            <w:shd w:val="clear" w:color="auto" w:fill="D8E9EE"/>
          </w:tcPr>
          <w:p w14:paraId="3C5FF5A4" w14:textId="77777777" w:rsidR="0074177E" w:rsidRPr="005160EE" w:rsidRDefault="0074177E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shd w:val="clear" w:color="auto" w:fill="D8E9EE"/>
          </w:tcPr>
          <w:p w14:paraId="485F5D69" w14:textId="77777777" w:rsidR="0074177E" w:rsidRPr="005160EE" w:rsidRDefault="007E05F9" w:rsidP="00444EE2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444EE2"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1E3DC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I</w:t>
            </w:r>
            <w:r w:rsidR="0074177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nfluenza ou un SAG</w:t>
            </w:r>
            <w:r w:rsidR="001E3DC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95461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jusqu’à 5</w:t>
            </w:r>
            <w:r w:rsidR="0074177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jours après le début des symptômes ou jusqu’à 24 heures après la résolution des symptômes respiratoires selon la plus longue des deux éventualités</w:t>
            </w:r>
          </w:p>
        </w:tc>
        <w:tc>
          <w:tcPr>
            <w:tcW w:w="2291" w:type="dxa"/>
            <w:vMerge w:val="restart"/>
            <w:shd w:val="clear" w:color="auto" w:fill="D8E9EE"/>
          </w:tcPr>
          <w:p w14:paraId="0D8F4DE7" w14:textId="77777777" w:rsidR="0074177E" w:rsidRPr="005160EE" w:rsidRDefault="0074177E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5" w:type="dxa"/>
            <w:vMerge w:val="restart"/>
            <w:shd w:val="clear" w:color="auto" w:fill="D8E9EE"/>
          </w:tcPr>
          <w:p w14:paraId="4DAC58B4" w14:textId="77777777" w:rsidR="0074177E" w:rsidRPr="005160EE" w:rsidRDefault="007E05F9" w:rsidP="007E05F9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444EE2"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1E3DC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C</w:t>
            </w:r>
            <w:r w:rsidR="00FC130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onsidérer que la période de contagiosité peut être prolongée dans </w:t>
            </w:r>
            <w:r w:rsidR="001E3DC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pour certains usagers</w:t>
            </w:r>
          </w:p>
          <w:p w14:paraId="67D3DDA9" w14:textId="77777777" w:rsidR="00FC130D" w:rsidRPr="005160EE" w:rsidRDefault="007E05F9" w:rsidP="00444EE2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444EE2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="00FC130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Prolonger la période de surveillance des contacts étroits selon la situation et le microorganisme</w:t>
            </w:r>
          </w:p>
        </w:tc>
        <w:tc>
          <w:tcPr>
            <w:tcW w:w="2309" w:type="dxa"/>
            <w:vMerge w:val="restart"/>
            <w:shd w:val="clear" w:color="auto" w:fill="D8E9EE"/>
          </w:tcPr>
          <w:p w14:paraId="45EB884B" w14:textId="77777777" w:rsidR="0074177E" w:rsidRPr="005160EE" w:rsidRDefault="0074177E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74177E" w:rsidRPr="003C0D0B" w14:paraId="71FF9B52" w14:textId="77777777" w:rsidTr="001429B9">
        <w:trPr>
          <w:trHeight w:val="442"/>
        </w:trPr>
        <w:tc>
          <w:tcPr>
            <w:tcW w:w="2889" w:type="dxa"/>
            <w:vMerge/>
            <w:shd w:val="clear" w:color="auto" w:fill="D9E2F3" w:themeFill="accent5" w:themeFillTint="33"/>
            <w:vAlign w:val="center"/>
          </w:tcPr>
          <w:p w14:paraId="450C5DA2" w14:textId="77777777" w:rsidR="0074177E" w:rsidRPr="003C0D0B" w:rsidRDefault="0074177E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vMerge/>
            <w:shd w:val="clear" w:color="auto" w:fill="D9E2F3" w:themeFill="accent5" w:themeFillTint="33"/>
          </w:tcPr>
          <w:p w14:paraId="0670EBCB" w14:textId="77777777" w:rsidR="0074177E" w:rsidRPr="003C0D0B" w:rsidRDefault="0074177E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shd w:val="clear" w:color="auto" w:fill="D9E2F3" w:themeFill="accent5" w:themeFillTint="33"/>
          </w:tcPr>
          <w:p w14:paraId="3512795A" w14:textId="77777777" w:rsidR="0074177E" w:rsidRPr="003C0D0B" w:rsidRDefault="007E05F9" w:rsidP="003C0D0B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</w:pPr>
            <w:r w:rsidRPr="003C0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□</w:t>
            </w:r>
            <w:r w:rsidR="00444EE2" w:rsidRPr="003C0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ab/>
            </w:r>
            <w:r w:rsidR="00444EE2" w:rsidRPr="0095461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A</w:t>
            </w:r>
            <w:r w:rsidR="0074177E" w:rsidRPr="0095461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utres virus respiratoires jusqu’à 24</w:t>
            </w:r>
            <w:r w:rsidR="003C0D0B" w:rsidRPr="0095461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  <w:r w:rsidR="0074177E" w:rsidRPr="0095461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heures après la résolution des symptômes respiratoires</w:t>
            </w:r>
          </w:p>
        </w:tc>
        <w:tc>
          <w:tcPr>
            <w:tcW w:w="2291" w:type="dxa"/>
            <w:vMerge/>
            <w:shd w:val="clear" w:color="auto" w:fill="D9E2F3" w:themeFill="accent5" w:themeFillTint="33"/>
          </w:tcPr>
          <w:p w14:paraId="20C64ACA" w14:textId="77777777" w:rsidR="0074177E" w:rsidRPr="003C0D0B" w:rsidRDefault="0074177E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75" w:type="dxa"/>
            <w:vMerge/>
            <w:shd w:val="clear" w:color="auto" w:fill="D9E2F3" w:themeFill="accent5" w:themeFillTint="33"/>
          </w:tcPr>
          <w:p w14:paraId="722FD9BB" w14:textId="77777777" w:rsidR="0074177E" w:rsidRPr="003C0D0B" w:rsidRDefault="0074177E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309" w:type="dxa"/>
            <w:vMerge/>
            <w:shd w:val="clear" w:color="auto" w:fill="D9E2F3" w:themeFill="accent5" w:themeFillTint="33"/>
          </w:tcPr>
          <w:p w14:paraId="30C0DD89" w14:textId="77777777" w:rsidR="0074177E" w:rsidRPr="003C0D0B" w:rsidRDefault="0074177E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</w:tbl>
    <w:p w14:paraId="75F68EB9" w14:textId="77777777" w:rsidR="0095461B" w:rsidRDefault="0095461B"/>
    <w:p w14:paraId="0ECE4BD1" w14:textId="77777777" w:rsidR="0095461B" w:rsidRDefault="0095461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2299"/>
        <w:gridCol w:w="2299"/>
        <w:gridCol w:w="2298"/>
        <w:gridCol w:w="2282"/>
        <w:gridCol w:w="2316"/>
      </w:tblGrid>
      <w:tr w:rsidR="0075792D" w:rsidRPr="008872E3" w14:paraId="29054BBD" w14:textId="77777777" w:rsidTr="001429B9">
        <w:trPr>
          <w:trHeight w:val="420"/>
        </w:trPr>
        <w:tc>
          <w:tcPr>
            <w:tcW w:w="2889" w:type="dxa"/>
            <w:vMerge w:val="restart"/>
            <w:shd w:val="clear" w:color="auto" w:fill="1C819A"/>
            <w:vAlign w:val="center"/>
            <w:hideMark/>
          </w:tcPr>
          <w:p w14:paraId="1B3F471A" w14:textId="77777777" w:rsidR="0075792D" w:rsidRPr="008872E3" w:rsidRDefault="0075792D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8872E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lastRenderedPageBreak/>
              <w:t>Item</w:t>
            </w:r>
          </w:p>
        </w:tc>
        <w:tc>
          <w:tcPr>
            <w:tcW w:w="2292" w:type="dxa"/>
            <w:vMerge w:val="restart"/>
            <w:shd w:val="clear" w:color="auto" w:fill="1C819A"/>
            <w:hideMark/>
          </w:tcPr>
          <w:p w14:paraId="6597706F" w14:textId="77777777" w:rsidR="0075792D" w:rsidRPr="008872E3" w:rsidRDefault="0075792D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8872E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Préparation</w:t>
            </w:r>
          </w:p>
        </w:tc>
        <w:tc>
          <w:tcPr>
            <w:tcW w:w="2292" w:type="dxa"/>
            <w:shd w:val="clear" w:color="auto" w:fill="1C819A"/>
            <w:hideMark/>
          </w:tcPr>
          <w:p w14:paraId="7DC130CE" w14:textId="77777777" w:rsidR="0075792D" w:rsidRPr="008872E3" w:rsidRDefault="0075792D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8872E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 xml:space="preserve">Cas </w:t>
            </w:r>
            <w:r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sporadiques</w:t>
            </w:r>
          </w:p>
        </w:tc>
        <w:tc>
          <w:tcPr>
            <w:tcW w:w="2291" w:type="dxa"/>
            <w:shd w:val="clear" w:color="auto" w:fill="1C819A"/>
            <w:hideMark/>
          </w:tcPr>
          <w:p w14:paraId="777A50E9" w14:textId="77777777" w:rsidR="0075792D" w:rsidRPr="008872E3" w:rsidRDefault="0075792D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8872E3">
              <w:rPr>
                <w:rFonts w:ascii="HelveticaNeueLT Std" w:eastAsia="Times New Roman" w:hAnsi="HelveticaNeueLT Std" w:cs="Times New Roman"/>
                <w:noProof/>
                <w:color w:val="000000"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F1A2B0" wp14:editId="09FAEEEA">
                      <wp:simplePos x="0" y="0"/>
                      <wp:positionH relativeFrom="column">
                        <wp:posOffset>-2739390</wp:posOffset>
                      </wp:positionH>
                      <wp:positionV relativeFrom="paragraph">
                        <wp:posOffset>97790</wp:posOffset>
                      </wp:positionV>
                      <wp:extent cx="6981190" cy="295275"/>
                      <wp:effectExtent l="0" t="0" r="0" b="9525"/>
                      <wp:wrapNone/>
                      <wp:docPr id="7" name="Flèche droi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1190" cy="295275"/>
                              </a:xfrm>
                              <a:prstGeom prst="rightArrow">
                                <a:avLst>
                                  <a:gd name="adj1" fmla="val 20370"/>
                                  <a:gd name="adj2" fmla="val 48039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86268" id="Flèche droite 7" o:spid="_x0000_s1026" type="#_x0000_t13" style="position:absolute;margin-left:-215.7pt;margin-top:7.7pt;width:549.7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umFgIAAG0EAAAOAAAAZHJzL2Uyb0RvYy54bWysVNtuEzEQfUfiHyy/072UNhdlU6FW4QXR&#10;isIHuF47a7A9lm2yCV/Ef/BjjL2bbSh5QrzM+jLnzJxje1c3e6PJTvigwDa0uigpEZZDq+y2oV8+&#10;b97MKQmR2ZZpsKKhBxHozfr1q1XvlqKGDnQrPEESG5a9a2gXo1sWReCdMCxcgBMWNyV4wyJO/bZo&#10;PeuR3eiiLsvrogffOg9chICrd8MmXWd+KQWP91IGEYluKPYWc/Q5PqVYrFdsufXMdYqPbbB/6MIw&#10;ZbHoRHXHIiPfvfqLyijuIYCMFxxMAVIqLrIGVFOVL9Q8dsyJrAXNCW6yKfw/Wv5x9+CJahs6o8Qy&#10;g0e00b9+ov2k9aCiILPkUe/CElMf3YMfZwGHSfBeepO+KIXss6+HyVexj4Tj4vViXlULtJ/jXr24&#10;qmdXibR4Rjsf4nsBhqRBQ73advGd99BnU9nuQ4jZ3XbskbVfK0qk0XhYO6ZJXV7Ojod5klOf5ryd&#10;l5eLse7IiB0cKyd6bVO0sFFaD/2llSKJH+TmUTxoMWR/EhKtQ4F1bjNfWnGrPcGWGso4FzZWY0Vt&#10;MTvBJJJPwOocUE+gMTfBRL7ME7A8B/yz4oTIVcHGCWyUBX+OoP12bFcO+Uf1g+Yk/wnaA94YfPLx&#10;HoPU0DeUa+Uo6cD/eLnmo76F4e0xyzGjoTE7krjwTudbML6/9GhO57n4819i/RsAAP//AwBQSwME&#10;FAAGAAgAAAAhAJagRlPfAAAACgEAAA8AAABkcnMvZG93bnJldi54bWxMj8FOwzAQRO+V+Adrkbi1&#10;TiCxmhCngkogeqQg9erESxKI7RC7rfn7Lic47a5mNPum2kQzshPOfnBWQrpKgKFtnR5sJ+H97Wm5&#10;BuaDslqNzqKEH/Swqa8WlSq1O9tXPO1DxyjE+lJJ6EOYSs5926NRfuUmtKR9uNmoQOfccT2rM4Wb&#10;kd8mieBGDZY+9GrCbY/t1/5oJBTbQ/aSf34XzzvRiAIPMe7yRylvruPDPbCAMfyZ4Ref0KEmpsYd&#10;rfZslLDM7tKMvKTkNMkhxJraNbSkBfC64v8r1BcAAAD//wMAUEsBAi0AFAAGAAgAAAAhALaDOJL+&#10;AAAA4QEAABMAAAAAAAAAAAAAAAAAAAAAAFtDb250ZW50X1R5cGVzXS54bWxQSwECLQAUAAYACAAA&#10;ACEAOP0h/9YAAACUAQAACwAAAAAAAAAAAAAAAAAvAQAAX3JlbHMvLnJlbHNQSwECLQAUAAYACAAA&#10;ACEA2vTrphYCAABtBAAADgAAAAAAAAAAAAAAAAAuAgAAZHJzL2Uyb0RvYy54bWxQSwECLQAUAAYA&#10;CAAAACEAlqBGU98AAAAKAQAADwAAAAAAAAAAAAAAAABwBAAAZHJzL2Rvd25yZXYueG1sUEsFBgAA&#10;AAAEAAQA8wAAAHwFAAAAAA==&#10;" adj="21161,8600" fillcolor="white [3201]" stroked="f" strokeweight="1pt"/>
                  </w:pict>
                </mc:Fallback>
              </mc:AlternateContent>
            </w:r>
            <w:r w:rsidRPr="008872E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</w:t>
            </w:r>
          </w:p>
        </w:tc>
        <w:tc>
          <w:tcPr>
            <w:tcW w:w="2275" w:type="dxa"/>
            <w:shd w:val="clear" w:color="auto" w:fill="1C819A"/>
            <w:hideMark/>
          </w:tcPr>
          <w:p w14:paraId="2A7EE113" w14:textId="77777777" w:rsidR="0075792D" w:rsidRPr="008872E3" w:rsidRDefault="0075792D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8872E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 majeure</w:t>
            </w:r>
          </w:p>
        </w:tc>
        <w:tc>
          <w:tcPr>
            <w:tcW w:w="2309" w:type="dxa"/>
            <w:vMerge w:val="restart"/>
            <w:shd w:val="clear" w:color="auto" w:fill="1C819A"/>
            <w:hideMark/>
          </w:tcPr>
          <w:p w14:paraId="608D5511" w14:textId="77777777" w:rsidR="0075792D" w:rsidRPr="008872E3" w:rsidRDefault="0075792D" w:rsidP="00754848">
            <w:pPr>
              <w:spacing w:before="40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8872E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Fin d'éclosion</w:t>
            </w:r>
          </w:p>
        </w:tc>
      </w:tr>
      <w:tr w:rsidR="0075792D" w:rsidRPr="008872E3" w14:paraId="7724CAE3" w14:textId="77777777" w:rsidTr="001429B9">
        <w:trPr>
          <w:trHeight w:val="549"/>
        </w:trPr>
        <w:tc>
          <w:tcPr>
            <w:tcW w:w="2889" w:type="dxa"/>
            <w:vMerge/>
            <w:shd w:val="clear" w:color="auto" w:fill="279CBA"/>
            <w:vAlign w:val="center"/>
            <w:hideMark/>
          </w:tcPr>
          <w:p w14:paraId="4B374DFA" w14:textId="77777777" w:rsidR="0075792D" w:rsidRPr="008872E3" w:rsidRDefault="0075792D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vMerge/>
            <w:shd w:val="clear" w:color="auto" w:fill="279CBA"/>
            <w:noWrap/>
            <w:vAlign w:val="center"/>
            <w:hideMark/>
          </w:tcPr>
          <w:p w14:paraId="23B75221" w14:textId="77777777" w:rsidR="0075792D" w:rsidRPr="008872E3" w:rsidRDefault="0075792D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shd w:val="clear" w:color="auto" w:fill="1C819A"/>
            <w:vAlign w:val="center"/>
            <w:hideMark/>
          </w:tcPr>
          <w:p w14:paraId="4AD67B74" w14:textId="77777777" w:rsidR="0075792D" w:rsidRPr="00A72135" w:rsidRDefault="0075792D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A72135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Mesures à appliquer</w:t>
            </w:r>
          </w:p>
        </w:tc>
        <w:tc>
          <w:tcPr>
            <w:tcW w:w="2291" w:type="dxa"/>
            <w:shd w:val="clear" w:color="auto" w:fill="1C819A"/>
            <w:vAlign w:val="center"/>
            <w:hideMark/>
          </w:tcPr>
          <w:p w14:paraId="214AE536" w14:textId="77777777" w:rsidR="0075792D" w:rsidRPr="00A72135" w:rsidRDefault="0075792D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A72135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275" w:type="dxa"/>
            <w:shd w:val="clear" w:color="auto" w:fill="1C819A"/>
            <w:vAlign w:val="center"/>
            <w:hideMark/>
          </w:tcPr>
          <w:p w14:paraId="51481AD0" w14:textId="77777777" w:rsidR="0075792D" w:rsidRPr="00A72135" w:rsidRDefault="0075792D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A72135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309" w:type="dxa"/>
            <w:vMerge/>
            <w:shd w:val="clear" w:color="auto" w:fill="279CBA"/>
            <w:hideMark/>
          </w:tcPr>
          <w:p w14:paraId="5639815E" w14:textId="77777777" w:rsidR="0075792D" w:rsidRPr="008872E3" w:rsidRDefault="0075792D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D02226" w:rsidRPr="003C0D0B" w14:paraId="1C1A8583" w14:textId="77777777" w:rsidTr="001429B9">
        <w:trPr>
          <w:trHeight w:val="887"/>
        </w:trPr>
        <w:tc>
          <w:tcPr>
            <w:tcW w:w="2889" w:type="dxa"/>
            <w:shd w:val="clear" w:color="auto" w:fill="auto"/>
            <w:vAlign w:val="center"/>
          </w:tcPr>
          <w:p w14:paraId="59885B34" w14:textId="77777777" w:rsidR="00D02226" w:rsidRPr="005160EE" w:rsidRDefault="00D02226" w:rsidP="00444EE2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Contacts étroits</w:t>
            </w:r>
          </w:p>
        </w:tc>
        <w:tc>
          <w:tcPr>
            <w:tcW w:w="2292" w:type="dxa"/>
            <w:shd w:val="clear" w:color="auto" w:fill="auto"/>
          </w:tcPr>
          <w:p w14:paraId="5F1FB3BA" w14:textId="77777777" w:rsidR="00D02226" w:rsidRPr="005160EE" w:rsidRDefault="00D02226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shd w:val="clear" w:color="auto" w:fill="auto"/>
          </w:tcPr>
          <w:p w14:paraId="5E3EDE9B" w14:textId="77777777" w:rsidR="00D02226" w:rsidRPr="005160EE" w:rsidRDefault="00444EE2" w:rsidP="005732E6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5732E6"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5732E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Appliquer les précautions additionnelles requises jusqu’à 72 heures suivant le dernier contact avec le cas infecté (transmission par gouttelettes/contact ou gouttelettes ou</w:t>
            </w:r>
            <w:r w:rsidR="005732E6"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5732E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pratiques de base selon le virus identifié</w:t>
            </w:r>
          </w:p>
        </w:tc>
        <w:tc>
          <w:tcPr>
            <w:tcW w:w="2291" w:type="dxa"/>
            <w:shd w:val="clear" w:color="auto" w:fill="auto"/>
          </w:tcPr>
          <w:p w14:paraId="2CEEB9B3" w14:textId="77777777" w:rsidR="00D02226" w:rsidRPr="005160EE" w:rsidRDefault="007E05F9" w:rsidP="00444EE2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444EE2"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D50F61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Faire une recherche de contacts étroits significatifs (voir définition), incluant les usagers qui auraient pu être transférés sur une autre unité de soins.</w:t>
            </w:r>
          </w:p>
          <w:p w14:paraId="5D56D640" w14:textId="77777777" w:rsidR="001719F6" w:rsidRPr="005160EE" w:rsidRDefault="00444EE2" w:rsidP="00444EE2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1719F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Mettre en place préventivement les précautions additionnelles contre la transmission par gouttelettes/contact pendant 72 heures pour ces contacts tout en poursuivant </w:t>
            </w:r>
            <w:r w:rsidR="001E3DC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la surveillance d</w:t>
            </w:r>
            <w:r w:rsidR="001719F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’apparition de symptômes d’infection respiratoire selon la période d’incubation </w:t>
            </w:r>
            <w:r w:rsidR="001E3DC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du virus respiratoire en cause</w:t>
            </w:r>
          </w:p>
        </w:tc>
        <w:tc>
          <w:tcPr>
            <w:tcW w:w="2275" w:type="dxa"/>
            <w:shd w:val="clear" w:color="auto" w:fill="auto"/>
          </w:tcPr>
          <w:p w14:paraId="6766475D" w14:textId="77777777" w:rsidR="00D02226" w:rsidRPr="005160EE" w:rsidRDefault="00D02226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309" w:type="dxa"/>
            <w:shd w:val="clear" w:color="auto" w:fill="auto"/>
          </w:tcPr>
          <w:p w14:paraId="59CCAD20" w14:textId="77777777" w:rsidR="00D02226" w:rsidRPr="005160EE" w:rsidRDefault="00D02226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5732E6" w:rsidRPr="003C0D0B" w14:paraId="47E41643" w14:textId="77777777" w:rsidTr="001429B9">
        <w:trPr>
          <w:trHeight w:val="443"/>
        </w:trPr>
        <w:tc>
          <w:tcPr>
            <w:tcW w:w="2889" w:type="dxa"/>
            <w:vMerge w:val="restart"/>
            <w:shd w:val="clear" w:color="auto" w:fill="D8E9EE"/>
            <w:vAlign w:val="center"/>
          </w:tcPr>
          <w:p w14:paraId="4080A0BF" w14:textId="77777777" w:rsidR="005732E6" w:rsidRPr="005160EE" w:rsidRDefault="005732E6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Contacts élargis</w:t>
            </w:r>
          </w:p>
        </w:tc>
        <w:tc>
          <w:tcPr>
            <w:tcW w:w="2292" w:type="dxa"/>
            <w:vMerge w:val="restart"/>
            <w:shd w:val="clear" w:color="auto" w:fill="D8E9EE"/>
          </w:tcPr>
          <w:p w14:paraId="21A39508" w14:textId="77777777" w:rsidR="005732E6" w:rsidRPr="005160EE" w:rsidRDefault="005732E6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shd w:val="clear" w:color="auto" w:fill="D8E9EE"/>
          </w:tcPr>
          <w:p w14:paraId="1B991EFD" w14:textId="77777777" w:rsidR="005732E6" w:rsidRPr="005160EE" w:rsidRDefault="001E3DCD" w:rsidP="001E3DCD">
            <w:pPr>
              <w:spacing w:after="0" w:line="240" w:lineRule="auto"/>
              <w:ind w:left="-16"/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 xml:space="preserve">Pour un SAG ou une </w:t>
            </w:r>
            <w:r w:rsidR="005732E6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 xml:space="preserve">influenza </w:t>
            </w:r>
          </w:p>
          <w:p w14:paraId="5C468389" w14:textId="77777777" w:rsidR="005732E6" w:rsidRPr="005160EE" w:rsidRDefault="0075792D" w:rsidP="005732E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5732E6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  <w:t>Surveiller l’apparition de symptômes chez les contacts élargis jusqu’à 72 heures suivant le dern</w:t>
            </w:r>
            <w:r w:rsidR="001E3DCD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ier contact avec le cas infecté</w:t>
            </w:r>
          </w:p>
        </w:tc>
        <w:tc>
          <w:tcPr>
            <w:tcW w:w="2291" w:type="dxa"/>
            <w:vMerge w:val="restart"/>
            <w:shd w:val="clear" w:color="auto" w:fill="D8E9EE"/>
          </w:tcPr>
          <w:p w14:paraId="1830FE61" w14:textId="77777777" w:rsidR="005732E6" w:rsidRPr="005160EE" w:rsidRDefault="005732E6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5" w:type="dxa"/>
            <w:vMerge w:val="restart"/>
            <w:shd w:val="clear" w:color="auto" w:fill="D8E9EE"/>
          </w:tcPr>
          <w:p w14:paraId="2A9BA063" w14:textId="77777777" w:rsidR="005732E6" w:rsidRPr="005160EE" w:rsidRDefault="005732E6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309" w:type="dxa"/>
            <w:vMerge w:val="restart"/>
            <w:shd w:val="clear" w:color="auto" w:fill="D8E9EE"/>
          </w:tcPr>
          <w:p w14:paraId="2F64C4F1" w14:textId="77777777" w:rsidR="005732E6" w:rsidRPr="005160EE" w:rsidRDefault="005732E6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5732E6" w:rsidRPr="00A72135" w14:paraId="04954B55" w14:textId="77777777" w:rsidTr="001429B9">
        <w:trPr>
          <w:trHeight w:val="442"/>
        </w:trPr>
        <w:tc>
          <w:tcPr>
            <w:tcW w:w="2889" w:type="dxa"/>
            <w:vMerge/>
            <w:shd w:val="clear" w:color="auto" w:fill="D9E2F3" w:themeFill="accent5" w:themeFillTint="33"/>
            <w:vAlign w:val="center"/>
          </w:tcPr>
          <w:p w14:paraId="1436D179" w14:textId="77777777" w:rsidR="005732E6" w:rsidRDefault="005732E6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vMerge/>
            <w:shd w:val="clear" w:color="auto" w:fill="D9E2F3" w:themeFill="accent5" w:themeFillTint="33"/>
          </w:tcPr>
          <w:p w14:paraId="160ECD3A" w14:textId="77777777" w:rsidR="005732E6" w:rsidRDefault="005732E6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shd w:val="clear" w:color="auto" w:fill="D8E9EE"/>
          </w:tcPr>
          <w:p w14:paraId="50E3DB5F" w14:textId="77777777" w:rsidR="005732E6" w:rsidRPr="0095461B" w:rsidRDefault="005732E6" w:rsidP="0095461B">
            <w:pPr>
              <w:spacing w:after="0" w:line="240" w:lineRule="auto"/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</w:pPr>
            <w:r w:rsidRPr="0095461B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Po</w:t>
            </w:r>
            <w:r w:rsidR="001E3DCD" w:rsidRPr="0095461B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ur un autre virus respiratoire</w:t>
            </w:r>
          </w:p>
          <w:p w14:paraId="5063B948" w14:textId="77777777" w:rsidR="005732E6" w:rsidRPr="0075792D" w:rsidRDefault="0075792D" w:rsidP="005732E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</w:pPr>
            <w:r w:rsidRPr="0095461B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5732E6" w:rsidRPr="0095461B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  <w:t>Surveiller l’apparition de symptômes chez les contacts jusqu’à la fin de la période maximale d’incubation du virus suivant le dernier contact avec le cas infecté</w:t>
            </w:r>
          </w:p>
        </w:tc>
        <w:tc>
          <w:tcPr>
            <w:tcW w:w="2291" w:type="dxa"/>
            <w:vMerge/>
            <w:shd w:val="clear" w:color="auto" w:fill="D9E2F3" w:themeFill="accent5" w:themeFillTint="33"/>
          </w:tcPr>
          <w:p w14:paraId="1CC7DCF8" w14:textId="77777777" w:rsidR="005732E6" w:rsidRPr="00A72135" w:rsidRDefault="005732E6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5" w:type="dxa"/>
            <w:vMerge/>
            <w:shd w:val="clear" w:color="auto" w:fill="D9E2F3" w:themeFill="accent5" w:themeFillTint="33"/>
          </w:tcPr>
          <w:p w14:paraId="3A74D974" w14:textId="77777777" w:rsidR="005732E6" w:rsidRPr="00A72135" w:rsidRDefault="005732E6" w:rsidP="0062298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309" w:type="dxa"/>
            <w:vMerge/>
            <w:shd w:val="clear" w:color="auto" w:fill="D9E2F3" w:themeFill="accent5" w:themeFillTint="33"/>
          </w:tcPr>
          <w:p w14:paraId="2FC71C4C" w14:textId="77777777" w:rsidR="005732E6" w:rsidRPr="00A72135" w:rsidRDefault="005732E6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</w:tbl>
    <w:p w14:paraId="6E77A670" w14:textId="77777777" w:rsidR="0095461B" w:rsidRDefault="0095461B"/>
    <w:p w14:paraId="7F38F71E" w14:textId="77777777" w:rsidR="0095461B" w:rsidRDefault="0095461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2299"/>
        <w:gridCol w:w="2299"/>
        <w:gridCol w:w="2298"/>
        <w:gridCol w:w="2282"/>
        <w:gridCol w:w="2316"/>
      </w:tblGrid>
      <w:tr w:rsidR="0075792D" w:rsidRPr="003C0D0B" w14:paraId="3D7A6FAA" w14:textId="77777777" w:rsidTr="001429B9">
        <w:trPr>
          <w:trHeight w:val="420"/>
        </w:trPr>
        <w:tc>
          <w:tcPr>
            <w:tcW w:w="2889" w:type="dxa"/>
            <w:vMerge w:val="restart"/>
            <w:shd w:val="clear" w:color="auto" w:fill="1C819A"/>
            <w:vAlign w:val="center"/>
            <w:hideMark/>
          </w:tcPr>
          <w:p w14:paraId="476D3169" w14:textId="77777777" w:rsidR="0075792D" w:rsidRPr="003C0D0B" w:rsidRDefault="0075792D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lastRenderedPageBreak/>
              <w:t>Item</w:t>
            </w:r>
          </w:p>
        </w:tc>
        <w:tc>
          <w:tcPr>
            <w:tcW w:w="2292" w:type="dxa"/>
            <w:vMerge w:val="restart"/>
            <w:shd w:val="clear" w:color="auto" w:fill="1C819A"/>
            <w:hideMark/>
          </w:tcPr>
          <w:p w14:paraId="430D5832" w14:textId="77777777" w:rsidR="0075792D" w:rsidRPr="003C0D0B" w:rsidRDefault="0075792D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Préparation</w:t>
            </w:r>
          </w:p>
        </w:tc>
        <w:tc>
          <w:tcPr>
            <w:tcW w:w="2292" w:type="dxa"/>
            <w:shd w:val="clear" w:color="auto" w:fill="1C819A"/>
            <w:hideMark/>
          </w:tcPr>
          <w:p w14:paraId="71FD41D7" w14:textId="77777777" w:rsidR="0075792D" w:rsidRPr="003C0D0B" w:rsidRDefault="0075792D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Cas sporadiques</w:t>
            </w:r>
          </w:p>
        </w:tc>
        <w:tc>
          <w:tcPr>
            <w:tcW w:w="2291" w:type="dxa"/>
            <w:shd w:val="clear" w:color="auto" w:fill="1C819A"/>
            <w:hideMark/>
          </w:tcPr>
          <w:p w14:paraId="1BD3C07B" w14:textId="77777777" w:rsidR="0075792D" w:rsidRPr="003C0D0B" w:rsidRDefault="0075792D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noProof/>
                <w:color w:val="000000"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AC4A97" wp14:editId="3EB67CEA">
                      <wp:simplePos x="0" y="0"/>
                      <wp:positionH relativeFrom="column">
                        <wp:posOffset>-2739390</wp:posOffset>
                      </wp:positionH>
                      <wp:positionV relativeFrom="paragraph">
                        <wp:posOffset>97790</wp:posOffset>
                      </wp:positionV>
                      <wp:extent cx="6981190" cy="295275"/>
                      <wp:effectExtent l="0" t="0" r="0" b="9525"/>
                      <wp:wrapNone/>
                      <wp:docPr id="9" name="Flèche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1190" cy="295275"/>
                              </a:xfrm>
                              <a:prstGeom prst="rightArrow">
                                <a:avLst>
                                  <a:gd name="adj1" fmla="val 20370"/>
                                  <a:gd name="adj2" fmla="val 48039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04663" id="Flèche droite 9" o:spid="_x0000_s1026" type="#_x0000_t13" style="position:absolute;margin-left:-215.7pt;margin-top:7.7pt;width:549.7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+q8FgIAAG0EAAAOAAAAZHJzL2Uyb0RvYy54bWysVNtuEzEQfUfiHyy/k72UtkmUTYVahRdE&#10;Kwof4HrtrME3jU024Yv4D36MsXezDSVPiJdZX+acmXNs7+pmbzTZCQjK2YZWs5ISYblrld029Mvn&#10;zZs5JSEy2zLtrGjoQQR6s379atX7pahd53QrgCCJDcveN7SL0S+LIvBOGBZmzguLm9KBYRGnsC1a&#10;YD2yG13UZXlV9A5aD46LEHD1btik68wvpeDxXsogItENxd5ijpDjU4rFesWWW2C+U3xsg/1DF4Yp&#10;i0UnqjsWGfkO6i8qozi44GSccWcKJ6XiImtANVX5Qs1jx7zIWtCc4Cebwv+j5R93D0BU29AFJZYZ&#10;PKKN/vUT7SctOBUFWSSPeh+WmProH2CcBRwmwXsJJn1RCtlnXw+Tr2IfCcfFq8W8qhZoP8e9enFZ&#10;X18m0uIZ7SHE98IZkgYNBbXt4jsA12dT2e5DiNndduyRtV8rSqTReFg7pkldXlwfD/Mkpz7NeTsv&#10;L7IYrDsy4uhYOdFrm6J1G6X10F9aKZL4QW4exYMWQ/YnIdE6FFjnNvOlFbcaCLbUUMa5sLEalWqL&#10;2QkmkXwCVueAegKNuQkm8mWegOU54J8VJ0Su6mycwEZZB+cI2m/HduWQf1Q/aE7yn1x7wBuDTz7e&#10;Y5Da9Q3lWnlKOgc/Xq5B1LdueHvMcsxoaMyOJC680/kWjO8vPZrTeS7+/JdY/wYAAP//AwBQSwME&#10;FAAGAAgAAAAhAJagRlPfAAAACgEAAA8AAABkcnMvZG93bnJldi54bWxMj8FOwzAQRO+V+Adrkbi1&#10;TiCxmhCngkogeqQg9erESxKI7RC7rfn7Lic47a5mNPum2kQzshPOfnBWQrpKgKFtnR5sJ+H97Wm5&#10;BuaDslqNzqKEH/Swqa8WlSq1O9tXPO1DxyjE+lJJ6EOYSs5926NRfuUmtKR9uNmoQOfccT2rM4Wb&#10;kd8mieBGDZY+9GrCbY/t1/5oJBTbQ/aSf34XzzvRiAIPMe7yRylvruPDPbCAMfyZ4Ref0KEmpsYd&#10;rfZslLDM7tKMvKTkNMkhxJraNbSkBfC64v8r1BcAAAD//wMAUEsBAi0AFAAGAAgAAAAhALaDOJL+&#10;AAAA4QEAABMAAAAAAAAAAAAAAAAAAAAAAFtDb250ZW50X1R5cGVzXS54bWxQSwECLQAUAAYACAAA&#10;ACEAOP0h/9YAAACUAQAACwAAAAAAAAAAAAAAAAAvAQAAX3JlbHMvLnJlbHNQSwECLQAUAAYACAAA&#10;ACEAktfqvBYCAABtBAAADgAAAAAAAAAAAAAAAAAuAgAAZHJzL2Uyb0RvYy54bWxQSwECLQAUAAYA&#10;CAAAACEAlqBGU98AAAAKAQAADwAAAAAAAAAAAAAAAABwBAAAZHJzL2Rvd25yZXYueG1sUEsFBgAA&#10;AAAEAAQA8wAAAHwFAAAAAA==&#10;" adj="21161,8600" fillcolor="white [3201]" stroked="f" strokeweight="1pt"/>
                  </w:pict>
                </mc:Fallback>
              </mc:AlternateContent>
            </w: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</w:t>
            </w:r>
          </w:p>
        </w:tc>
        <w:tc>
          <w:tcPr>
            <w:tcW w:w="2275" w:type="dxa"/>
            <w:shd w:val="clear" w:color="auto" w:fill="1C819A"/>
            <w:hideMark/>
          </w:tcPr>
          <w:p w14:paraId="258BED67" w14:textId="77777777" w:rsidR="0075792D" w:rsidRPr="003C0D0B" w:rsidRDefault="0075792D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 majeure</w:t>
            </w:r>
          </w:p>
        </w:tc>
        <w:tc>
          <w:tcPr>
            <w:tcW w:w="2309" w:type="dxa"/>
            <w:vMerge w:val="restart"/>
            <w:shd w:val="clear" w:color="auto" w:fill="1C819A"/>
            <w:hideMark/>
          </w:tcPr>
          <w:p w14:paraId="041F3D2C" w14:textId="77777777" w:rsidR="0075792D" w:rsidRPr="003C0D0B" w:rsidRDefault="0075792D" w:rsidP="00754848">
            <w:pPr>
              <w:spacing w:before="40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Fin d'éclosion</w:t>
            </w:r>
          </w:p>
        </w:tc>
      </w:tr>
      <w:tr w:rsidR="0075792D" w:rsidRPr="003C0D0B" w14:paraId="0C00EA03" w14:textId="77777777" w:rsidTr="001429B9">
        <w:trPr>
          <w:trHeight w:val="549"/>
        </w:trPr>
        <w:tc>
          <w:tcPr>
            <w:tcW w:w="2889" w:type="dxa"/>
            <w:vMerge/>
            <w:shd w:val="clear" w:color="auto" w:fill="279CBA"/>
            <w:vAlign w:val="center"/>
            <w:hideMark/>
          </w:tcPr>
          <w:p w14:paraId="1D1AACD1" w14:textId="77777777" w:rsidR="0075792D" w:rsidRPr="003C0D0B" w:rsidRDefault="0075792D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vMerge/>
            <w:shd w:val="clear" w:color="auto" w:fill="279CBA"/>
            <w:noWrap/>
            <w:vAlign w:val="center"/>
            <w:hideMark/>
          </w:tcPr>
          <w:p w14:paraId="2364A286" w14:textId="77777777" w:rsidR="0075792D" w:rsidRPr="003C0D0B" w:rsidRDefault="0075792D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shd w:val="clear" w:color="auto" w:fill="1C819A"/>
            <w:vAlign w:val="center"/>
            <w:hideMark/>
          </w:tcPr>
          <w:p w14:paraId="66BBA4ED" w14:textId="77777777" w:rsidR="0075792D" w:rsidRPr="003C0D0B" w:rsidRDefault="0075792D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Mesures à appliquer</w:t>
            </w:r>
          </w:p>
        </w:tc>
        <w:tc>
          <w:tcPr>
            <w:tcW w:w="2291" w:type="dxa"/>
            <w:shd w:val="clear" w:color="auto" w:fill="1C819A"/>
            <w:vAlign w:val="center"/>
            <w:hideMark/>
          </w:tcPr>
          <w:p w14:paraId="47B3056B" w14:textId="77777777" w:rsidR="0075792D" w:rsidRPr="003C0D0B" w:rsidRDefault="0075792D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275" w:type="dxa"/>
            <w:shd w:val="clear" w:color="auto" w:fill="1C819A"/>
            <w:vAlign w:val="center"/>
            <w:hideMark/>
          </w:tcPr>
          <w:p w14:paraId="39E3B43C" w14:textId="77777777" w:rsidR="0075792D" w:rsidRPr="003C0D0B" w:rsidRDefault="0075792D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309" w:type="dxa"/>
            <w:vMerge/>
            <w:shd w:val="clear" w:color="auto" w:fill="279CBA"/>
            <w:hideMark/>
          </w:tcPr>
          <w:p w14:paraId="6F863DE2" w14:textId="77777777" w:rsidR="0075792D" w:rsidRPr="003C0D0B" w:rsidRDefault="0075792D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</w:tr>
      <w:tr w:rsidR="003C0D0B" w:rsidRPr="003C0D0B" w14:paraId="1F1AF146" w14:textId="77777777" w:rsidTr="001429B9">
        <w:trPr>
          <w:trHeight w:val="887"/>
        </w:trPr>
        <w:tc>
          <w:tcPr>
            <w:tcW w:w="2889" w:type="dxa"/>
            <w:shd w:val="clear" w:color="auto" w:fill="auto"/>
            <w:vAlign w:val="center"/>
          </w:tcPr>
          <w:p w14:paraId="1A1E1F94" w14:textId="77777777" w:rsidR="003C0D0B" w:rsidRPr="005160EE" w:rsidRDefault="003C0D0B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Vaccination influenza</w:t>
            </w:r>
          </w:p>
        </w:tc>
        <w:tc>
          <w:tcPr>
            <w:tcW w:w="2292" w:type="dxa"/>
            <w:shd w:val="clear" w:color="auto" w:fill="auto"/>
          </w:tcPr>
          <w:p w14:paraId="10AE23DF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Campagne d’information</w:t>
            </w:r>
          </w:p>
          <w:p w14:paraId="03A2D0D9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Vaccination des usagers à risque</w:t>
            </w:r>
          </w:p>
        </w:tc>
        <w:tc>
          <w:tcPr>
            <w:tcW w:w="2292" w:type="dxa"/>
            <w:shd w:val="clear" w:color="auto" w:fill="auto"/>
          </w:tcPr>
          <w:p w14:paraId="1832B61A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1" w:type="dxa"/>
            <w:shd w:val="clear" w:color="auto" w:fill="auto"/>
          </w:tcPr>
          <w:p w14:paraId="6C80CFCB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Offrir le vaccin aux usagers à risque non vaccinés</w:t>
            </w:r>
          </w:p>
        </w:tc>
        <w:tc>
          <w:tcPr>
            <w:tcW w:w="2275" w:type="dxa"/>
            <w:shd w:val="clear" w:color="auto" w:fill="auto"/>
          </w:tcPr>
          <w:p w14:paraId="24B0A279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309" w:type="dxa"/>
            <w:shd w:val="clear" w:color="auto" w:fill="auto"/>
          </w:tcPr>
          <w:p w14:paraId="2755BC06" w14:textId="77777777" w:rsidR="003C0D0B" w:rsidRPr="005160EE" w:rsidRDefault="003C0D0B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6C507E" w:rsidRPr="003C0D0B" w14:paraId="13E651DC" w14:textId="77777777" w:rsidTr="001429B9">
        <w:trPr>
          <w:trHeight w:val="887"/>
        </w:trPr>
        <w:tc>
          <w:tcPr>
            <w:tcW w:w="2889" w:type="dxa"/>
            <w:shd w:val="clear" w:color="auto" w:fill="D8E9EE"/>
            <w:vAlign w:val="center"/>
          </w:tcPr>
          <w:p w14:paraId="67A6BBA8" w14:textId="77777777" w:rsidR="006C507E" w:rsidRPr="005160EE" w:rsidRDefault="00673CF0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Antiviraux et prophylaxie</w:t>
            </w:r>
          </w:p>
        </w:tc>
        <w:tc>
          <w:tcPr>
            <w:tcW w:w="2292" w:type="dxa"/>
            <w:shd w:val="clear" w:color="auto" w:fill="D8E9EE"/>
          </w:tcPr>
          <w:p w14:paraId="027A02D6" w14:textId="77777777" w:rsidR="006C507E" w:rsidRPr="005160EE" w:rsidRDefault="0075792D" w:rsidP="0075792D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="001E3DCD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 xml:space="preserve">CHSLD : informations </w:t>
            </w:r>
            <w:r w:rsidR="008B778C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 xml:space="preserve">requises </w:t>
            </w:r>
            <w:r w:rsidR="00D41D2D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 xml:space="preserve">inscrites </w:t>
            </w:r>
            <w:r w:rsidR="008B778C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au dossier de l’usager</w:t>
            </w:r>
          </w:p>
        </w:tc>
        <w:tc>
          <w:tcPr>
            <w:tcW w:w="2292" w:type="dxa"/>
            <w:shd w:val="clear" w:color="auto" w:fill="D8E9EE"/>
          </w:tcPr>
          <w:p w14:paraId="1DCB8750" w14:textId="3F5032B1" w:rsidR="006C507E" w:rsidRPr="005160EE" w:rsidRDefault="0075792D" w:rsidP="002C1F7B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="00911888" w:rsidRPr="002C1F7B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 xml:space="preserve">Décision </w:t>
            </w:r>
            <w:r w:rsidR="002C1F7B" w:rsidRPr="002C1F7B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 xml:space="preserve">du médecin traitant </w:t>
            </w:r>
            <w:r w:rsidR="00911888" w:rsidRPr="002C1F7B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 xml:space="preserve">d’administrer ou non </w:t>
            </w:r>
            <w:r w:rsidR="002C1F7B" w:rsidRPr="002C1F7B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la médication</w:t>
            </w:r>
            <w:r w:rsidR="00911888" w:rsidRPr="002C1F7B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91" w:type="dxa"/>
            <w:shd w:val="clear" w:color="auto" w:fill="D8E9EE"/>
          </w:tcPr>
          <w:p w14:paraId="2412CB0E" w14:textId="77777777" w:rsidR="006C507E" w:rsidRPr="005160EE" w:rsidRDefault="006C507E" w:rsidP="0075792D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5" w:type="dxa"/>
            <w:shd w:val="clear" w:color="auto" w:fill="D8E9EE"/>
          </w:tcPr>
          <w:p w14:paraId="00048B0B" w14:textId="77777777" w:rsidR="006C507E" w:rsidRPr="005160EE" w:rsidRDefault="0075792D" w:rsidP="0075792D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="00A71350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Offrir la prophylaxie antivirale à l’ensemble des usagers asymptomatiques visés, vaccinés ou non, si non débutée</w:t>
            </w:r>
          </w:p>
        </w:tc>
        <w:tc>
          <w:tcPr>
            <w:tcW w:w="2309" w:type="dxa"/>
            <w:shd w:val="clear" w:color="auto" w:fill="D8E9EE"/>
          </w:tcPr>
          <w:p w14:paraId="4956C5E4" w14:textId="77777777" w:rsidR="00703F80" w:rsidRPr="005160EE" w:rsidRDefault="0075792D" w:rsidP="0075792D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="00AA6907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Compléter au moins dix jours de prophylaxie antivirale après le débu</w:t>
            </w:r>
            <w:r w:rsidR="0095461B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t des symptômes du dernier cas</w:t>
            </w:r>
          </w:p>
          <w:p w14:paraId="20F28BB5" w14:textId="77777777" w:rsidR="006C507E" w:rsidRPr="005160EE" w:rsidRDefault="0075792D" w:rsidP="0075792D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="00AA6907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Cesser la prophylaxie des usagers et des travailleurs</w:t>
            </w:r>
            <w:r w:rsidR="0095461B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 xml:space="preserve"> de toute l’unité en même temps</w:t>
            </w:r>
          </w:p>
        </w:tc>
      </w:tr>
      <w:tr w:rsidR="008872E3" w:rsidRPr="003C0D0B" w14:paraId="13455A6D" w14:textId="77777777" w:rsidTr="001429B9">
        <w:trPr>
          <w:trHeight w:val="1842"/>
        </w:trPr>
        <w:tc>
          <w:tcPr>
            <w:tcW w:w="2889" w:type="dxa"/>
            <w:shd w:val="clear" w:color="auto" w:fill="auto"/>
            <w:vAlign w:val="center"/>
            <w:hideMark/>
          </w:tcPr>
          <w:p w14:paraId="05DF13C2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 xml:space="preserve">Hébergement </w:t>
            </w:r>
          </w:p>
        </w:tc>
        <w:tc>
          <w:tcPr>
            <w:tcW w:w="2292" w:type="dxa"/>
            <w:shd w:val="clear" w:color="auto" w:fill="auto"/>
            <w:hideMark/>
          </w:tcPr>
          <w:p w14:paraId="5A059ABE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Plan de </w:t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>contingence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fait </w:t>
            </w:r>
          </w:p>
          <w:p w14:paraId="240E5DBE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Plan de </w:t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>contingence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connu</w:t>
            </w:r>
          </w:p>
        </w:tc>
        <w:tc>
          <w:tcPr>
            <w:tcW w:w="2292" w:type="dxa"/>
            <w:shd w:val="clear" w:color="auto" w:fill="auto"/>
            <w:hideMark/>
          </w:tcPr>
          <w:p w14:paraId="562EF905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>Chambre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individuelle avec toilette dédiée</w:t>
            </w:r>
          </w:p>
          <w:p w14:paraId="63141B17" w14:textId="77777777" w:rsidR="008872E3" w:rsidRPr="005160EE" w:rsidRDefault="008872E3" w:rsidP="00D0222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>Regroupe</w:t>
            </w:r>
            <w:r w:rsidR="00911888" w:rsidRPr="005160EE">
              <w:rPr>
                <w:rFonts w:ascii="HelveticaNeueLT Std" w:hAnsi="HelveticaNeueLT Std"/>
                <w:sz w:val="17"/>
                <w:szCs w:val="17"/>
              </w:rPr>
              <w:t>ment possible</w:t>
            </w:r>
            <w:r w:rsidR="00D0222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d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es cas </w:t>
            </w:r>
            <w:r w:rsidR="00703F8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sporadiques </w:t>
            </w:r>
            <w:r w:rsidR="00D0222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sur une même unité</w:t>
            </w:r>
          </w:p>
        </w:tc>
        <w:tc>
          <w:tcPr>
            <w:tcW w:w="2291" w:type="dxa"/>
            <w:shd w:val="clear" w:color="auto" w:fill="auto"/>
            <w:hideMark/>
          </w:tcPr>
          <w:p w14:paraId="15603F3D" w14:textId="77777777" w:rsidR="00D50F61" w:rsidRPr="005160EE" w:rsidRDefault="00D50F61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>Soins aigus :</w:t>
            </w:r>
          </w:p>
          <w:p w14:paraId="2866C0A2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>Regrouper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géographiquement (cohorte) les usagers avec le même </w:t>
            </w:r>
            <w:r w:rsidR="00D50F61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microorganisme</w:t>
            </w:r>
          </w:p>
          <w:p w14:paraId="08F8C68B" w14:textId="77777777" w:rsidR="00D50F61" w:rsidRPr="005160EE" w:rsidRDefault="00D50F61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Pour tous les milieux :</w:t>
            </w:r>
          </w:p>
          <w:p w14:paraId="4AE5851B" w14:textId="77777777" w:rsidR="008872E3" w:rsidRPr="005160EE" w:rsidRDefault="008872E3" w:rsidP="00403DA4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hAnsi="HelveticaNeueLT Std"/>
                <w:sz w:val="17"/>
                <w:szCs w:val="17"/>
              </w:rPr>
              <w:t>Interdire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l'accès aux espaces communs ou aires d'entreposage </w:t>
            </w:r>
          </w:p>
        </w:tc>
        <w:tc>
          <w:tcPr>
            <w:tcW w:w="2275" w:type="dxa"/>
            <w:shd w:val="clear" w:color="auto" w:fill="auto"/>
            <w:hideMark/>
          </w:tcPr>
          <w:p w14:paraId="62304901" w14:textId="77777777" w:rsidR="008872E3" w:rsidRPr="005160EE" w:rsidRDefault="008872E3" w:rsidP="00703F80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="00703F8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</w:t>
            </w:r>
            <w:r w:rsidR="00A7135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oins aigus ou en centre de réadaptation : </w:t>
            </w:r>
            <w:r w:rsidR="00CA44C2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c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ohorte triple avec des travailleurs de la santé et du matériel dédiés pour chacun des regroupements</w:t>
            </w:r>
          </w:p>
        </w:tc>
        <w:tc>
          <w:tcPr>
            <w:tcW w:w="2309" w:type="dxa"/>
            <w:shd w:val="clear" w:color="auto" w:fill="auto"/>
            <w:hideMark/>
          </w:tcPr>
          <w:p w14:paraId="716D904A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8872E3" w:rsidRPr="003C0D0B" w14:paraId="7894D9DE" w14:textId="77777777" w:rsidTr="001429B9">
        <w:trPr>
          <w:trHeight w:val="698"/>
        </w:trPr>
        <w:tc>
          <w:tcPr>
            <w:tcW w:w="2889" w:type="dxa"/>
            <w:shd w:val="clear" w:color="auto" w:fill="D8E9EE"/>
            <w:vAlign w:val="center"/>
            <w:hideMark/>
          </w:tcPr>
          <w:p w14:paraId="66AABEAB" w14:textId="77777777" w:rsidR="008872E3" w:rsidRPr="005160EE" w:rsidRDefault="008872E3" w:rsidP="00A72135">
            <w:pPr>
              <w:spacing w:after="0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Transferts</w:t>
            </w:r>
          </w:p>
        </w:tc>
        <w:tc>
          <w:tcPr>
            <w:tcW w:w="2292" w:type="dxa"/>
            <w:shd w:val="clear" w:color="auto" w:fill="D8E9EE"/>
            <w:hideMark/>
          </w:tcPr>
          <w:p w14:paraId="3F61935E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2" w:type="dxa"/>
            <w:shd w:val="clear" w:color="auto" w:fill="D8E9EE"/>
            <w:hideMark/>
          </w:tcPr>
          <w:p w14:paraId="1D5F508C" w14:textId="77777777" w:rsidR="00291849" w:rsidRPr="005160EE" w:rsidRDefault="00291849" w:rsidP="00291849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Si requis :</w:t>
            </w:r>
          </w:p>
          <w:p w14:paraId="6CA1C4B4" w14:textId="77777777" w:rsidR="008872E3" w:rsidRPr="005160EE" w:rsidRDefault="0075792D" w:rsidP="00971E7D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971E7D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="008872E3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Aviser l'installation ou l'unité lors du transfert</w:t>
            </w:r>
          </w:p>
          <w:p w14:paraId="15040FED" w14:textId="77777777" w:rsidR="005732E6" w:rsidRPr="005160EE" w:rsidRDefault="0075792D" w:rsidP="00971E7D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971E7D"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="00291849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A</w:t>
            </w:r>
            <w:r w:rsidR="005732E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ppliquer les précautions additionnelles</w:t>
            </w:r>
            <w:r w:rsidR="00291849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lorsqu’indiquées</w:t>
            </w:r>
          </w:p>
        </w:tc>
        <w:tc>
          <w:tcPr>
            <w:tcW w:w="2291" w:type="dxa"/>
            <w:shd w:val="clear" w:color="auto" w:fill="D8E9EE"/>
            <w:hideMark/>
          </w:tcPr>
          <w:p w14:paraId="57E3A52D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75" w:type="dxa"/>
            <w:shd w:val="clear" w:color="auto" w:fill="D8E9EE"/>
            <w:hideMark/>
          </w:tcPr>
          <w:p w14:paraId="5344A463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309" w:type="dxa"/>
            <w:shd w:val="clear" w:color="auto" w:fill="D8E9EE"/>
            <w:hideMark/>
          </w:tcPr>
          <w:p w14:paraId="0B63392B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</w:tbl>
    <w:p w14:paraId="01772325" w14:textId="77777777" w:rsidR="003C0D0B" w:rsidRDefault="003C0D0B"/>
    <w:p w14:paraId="528C01E8" w14:textId="77777777" w:rsidR="003C0D0B" w:rsidRDefault="003C0D0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2299"/>
        <w:gridCol w:w="2299"/>
        <w:gridCol w:w="2298"/>
        <w:gridCol w:w="2282"/>
        <w:gridCol w:w="2316"/>
      </w:tblGrid>
      <w:tr w:rsidR="00A317F4" w:rsidRPr="003C0D0B" w14:paraId="1B053F45" w14:textId="77777777" w:rsidTr="001429B9">
        <w:trPr>
          <w:trHeight w:val="420"/>
          <w:tblHeader/>
        </w:trPr>
        <w:tc>
          <w:tcPr>
            <w:tcW w:w="2889" w:type="dxa"/>
            <w:vMerge w:val="restart"/>
            <w:shd w:val="clear" w:color="auto" w:fill="1C819A"/>
            <w:vAlign w:val="center"/>
            <w:hideMark/>
          </w:tcPr>
          <w:p w14:paraId="6031F55A" w14:textId="77777777" w:rsidR="00A317F4" w:rsidRPr="00A317F4" w:rsidRDefault="00A317F4" w:rsidP="00A317F4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lastRenderedPageBreak/>
              <w:t>Item</w:t>
            </w:r>
          </w:p>
        </w:tc>
        <w:tc>
          <w:tcPr>
            <w:tcW w:w="2292" w:type="dxa"/>
            <w:vMerge w:val="restart"/>
            <w:shd w:val="clear" w:color="auto" w:fill="1C819A"/>
            <w:hideMark/>
          </w:tcPr>
          <w:p w14:paraId="779E5B5A" w14:textId="77777777" w:rsidR="00A317F4" w:rsidRPr="00A317F4" w:rsidRDefault="00A317F4" w:rsidP="00A317F4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Préparation</w:t>
            </w:r>
          </w:p>
        </w:tc>
        <w:tc>
          <w:tcPr>
            <w:tcW w:w="2292" w:type="dxa"/>
            <w:shd w:val="clear" w:color="auto" w:fill="1C819A"/>
            <w:hideMark/>
          </w:tcPr>
          <w:p w14:paraId="11238DD9" w14:textId="77777777" w:rsidR="00A317F4" w:rsidRPr="00A317F4" w:rsidRDefault="00A317F4" w:rsidP="00A317F4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Cas sporadiques</w:t>
            </w:r>
          </w:p>
        </w:tc>
        <w:tc>
          <w:tcPr>
            <w:tcW w:w="2291" w:type="dxa"/>
            <w:shd w:val="clear" w:color="auto" w:fill="1C819A"/>
            <w:hideMark/>
          </w:tcPr>
          <w:p w14:paraId="1C0584F1" w14:textId="77777777" w:rsidR="00A317F4" w:rsidRPr="00A317F4" w:rsidRDefault="00A317F4" w:rsidP="00A317F4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noProof/>
                <w:color w:val="000000"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3CB877" wp14:editId="417DA890">
                      <wp:simplePos x="0" y="0"/>
                      <wp:positionH relativeFrom="column">
                        <wp:posOffset>-2739390</wp:posOffset>
                      </wp:positionH>
                      <wp:positionV relativeFrom="paragraph">
                        <wp:posOffset>97790</wp:posOffset>
                      </wp:positionV>
                      <wp:extent cx="6981190" cy="295275"/>
                      <wp:effectExtent l="0" t="0" r="0" b="9525"/>
                      <wp:wrapNone/>
                      <wp:docPr id="20" name="Flèche droi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1190" cy="295275"/>
                              </a:xfrm>
                              <a:prstGeom prst="rightArrow">
                                <a:avLst>
                                  <a:gd name="adj1" fmla="val 20370"/>
                                  <a:gd name="adj2" fmla="val 480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1FED1" id="Flèche droite 20" o:spid="_x0000_s1026" type="#_x0000_t13" style="position:absolute;margin-left:-215.7pt;margin-top:7.7pt;width:549.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Y7HAIAAB0EAAAOAAAAZHJzL2Uyb0RvYy54bWysU0tu2zAQ3RfoHQjua8lKE9uC5aCI4W6K&#10;JkDaAzD8SCz4w5C17J6o9+jFOqQVx013RbWgSM7wvZk3M+vbgzVkLyFq7zo6n9WUSMe90K7v6Ncv&#10;u3dLSmJiTjDjnezoUUZ6u3n7Zj2GVjZ+8EZIIAjiYjuGjg4phbaqIh+kZXHmg3RoVB4sS3iEvhLA&#10;RkS3pmrq+qYaPYgAnssY8XZ7MtJNwVdK8nSvVJSJmI5ibKmsUNanvFabNWt7YGHQfAqD/UMUlmmH&#10;pGeoLUuMfAf9F5TVHHz0Ks24t5VXSnNZcsBs5vWrbB4HFmTJBcWJ4SxT/H+w/PP+AYgWHW1QHscs&#10;1mhnfv1E/YkAr5MkaECVxhBbdH4MDzCdIm5zygcFNv8xGXIoyh7PyspDIhwvb1bL+XyFDBxtzeq6&#10;WVxn0OrldYCYPkpvSd50FHQ/pA8Afiyysv2nmIq+YgqSiW9zSpQ1WK49Mxjl1eK5nBc+zaXP+2V9&#10;tZp4J0SM4Jk5w0dvtNhpY8rhGO8MEETvKLacwFiIYTHhJYpUvgnsj2fGkRFHoVnUOV+GTa0MS7i1&#10;AWWOrqeEmR6nhScoyTmfGUsn5li2LA4n0gKbKVhrsRJAjLYdXdb5m5iNy1ZZOh0lyprmSp1qk3dP&#10;Xhyxwjii6R4XZTwGx40OlAwefry+g2Tu/GlWmOPo0dFUqDIW9mCp2TQvuckvz4X7Zao3vwEAAP//&#10;AwBQSwMEFAAGAAgAAAAhABAIr7TfAAAACgEAAA8AAABkcnMvZG93bnJldi54bWxMj81OwzAQhO9I&#10;vIO1SNxaJ1CiJo1TIf5Ejw1FvbqxiSPidWq7bfL2LCc47a5mNPtNuR5tz87ah86hgHSeANPYONVh&#10;K2D38TpbAgtRopK9Qy1g0gHW1fVVKQvlLrjV5zq2jEIwFFKAiXEoOA+N0VaGuRs0kvblvJWRTt9y&#10;5eWFwm3P75Ik41Z2SB+MHPST0c13fbIChk12fD++bfetmZ5z/PT1yy6fhLi9GR9XwKIe458ZfvEJ&#10;HSpiOrgTqsB6AbPFfbogLykPNMmRZUtqd6AlzYFXJf9fofoBAAD//wMAUEsBAi0AFAAGAAgAAAAh&#10;ALaDOJL+AAAA4QEAABMAAAAAAAAAAAAAAAAAAAAAAFtDb250ZW50X1R5cGVzXS54bWxQSwECLQAU&#10;AAYACAAAACEAOP0h/9YAAACUAQAACwAAAAAAAAAAAAAAAAAvAQAAX3JlbHMvLnJlbHNQSwECLQAU&#10;AAYACAAAACEAU//GOxwCAAAdBAAADgAAAAAAAAAAAAAAAAAuAgAAZHJzL2Uyb0RvYy54bWxQSwEC&#10;LQAUAAYACAAAACEAEAivtN8AAAAKAQAADwAAAAAAAAAAAAAAAAB2BAAAZHJzL2Rvd25yZXYueG1s&#10;UEsFBgAAAAAEAAQA8wAAAIIFAAAAAA==&#10;" adj="21161,8600" fillcolor="window" stroked="f" strokeweight="1pt"/>
                  </w:pict>
                </mc:Fallback>
              </mc:AlternateContent>
            </w: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</w:t>
            </w:r>
          </w:p>
        </w:tc>
        <w:tc>
          <w:tcPr>
            <w:tcW w:w="2275" w:type="dxa"/>
            <w:shd w:val="clear" w:color="auto" w:fill="1C819A"/>
            <w:hideMark/>
          </w:tcPr>
          <w:p w14:paraId="1AC9D37E" w14:textId="77777777" w:rsidR="00A317F4" w:rsidRPr="00A317F4" w:rsidRDefault="00A317F4" w:rsidP="00A317F4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 majeure</w:t>
            </w:r>
          </w:p>
        </w:tc>
        <w:tc>
          <w:tcPr>
            <w:tcW w:w="2309" w:type="dxa"/>
            <w:vMerge w:val="restart"/>
            <w:shd w:val="clear" w:color="auto" w:fill="1C819A"/>
          </w:tcPr>
          <w:p w14:paraId="4BC33641" w14:textId="77777777" w:rsidR="00A317F4" w:rsidRPr="003C0D0B" w:rsidRDefault="00A317F4" w:rsidP="00A317F4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Fin d'éclosion</w:t>
            </w:r>
          </w:p>
        </w:tc>
      </w:tr>
      <w:tr w:rsidR="00A317F4" w:rsidRPr="003C0D0B" w14:paraId="6733E8CA" w14:textId="77777777" w:rsidTr="001429B9">
        <w:trPr>
          <w:trHeight w:val="549"/>
          <w:tblHeader/>
        </w:trPr>
        <w:tc>
          <w:tcPr>
            <w:tcW w:w="2889" w:type="dxa"/>
            <w:vMerge/>
            <w:shd w:val="clear" w:color="auto" w:fill="279CBA"/>
            <w:vAlign w:val="center"/>
            <w:hideMark/>
          </w:tcPr>
          <w:p w14:paraId="335903DF" w14:textId="77777777" w:rsidR="00A317F4" w:rsidRPr="00A317F4" w:rsidRDefault="00A317F4" w:rsidP="00A317F4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vMerge/>
            <w:shd w:val="clear" w:color="auto" w:fill="279CBA"/>
            <w:noWrap/>
            <w:vAlign w:val="center"/>
            <w:hideMark/>
          </w:tcPr>
          <w:p w14:paraId="78F658A0" w14:textId="77777777" w:rsidR="00A317F4" w:rsidRPr="00A317F4" w:rsidRDefault="00A317F4" w:rsidP="00A317F4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2" w:type="dxa"/>
            <w:shd w:val="clear" w:color="auto" w:fill="1C819A"/>
            <w:vAlign w:val="center"/>
            <w:hideMark/>
          </w:tcPr>
          <w:p w14:paraId="1DB2F16E" w14:textId="77777777" w:rsidR="00A317F4" w:rsidRPr="00A317F4" w:rsidRDefault="00A317F4" w:rsidP="00A317F4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Mesures à appliquer</w:t>
            </w:r>
          </w:p>
        </w:tc>
        <w:tc>
          <w:tcPr>
            <w:tcW w:w="2291" w:type="dxa"/>
            <w:shd w:val="clear" w:color="auto" w:fill="1C819A"/>
            <w:vAlign w:val="center"/>
            <w:hideMark/>
          </w:tcPr>
          <w:p w14:paraId="74E4D3D0" w14:textId="77777777" w:rsidR="00A317F4" w:rsidRPr="00A317F4" w:rsidRDefault="00A317F4" w:rsidP="00A317F4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275" w:type="dxa"/>
            <w:shd w:val="clear" w:color="auto" w:fill="1C819A"/>
            <w:vAlign w:val="center"/>
            <w:hideMark/>
          </w:tcPr>
          <w:p w14:paraId="099EBE03" w14:textId="77777777" w:rsidR="00A317F4" w:rsidRPr="00A317F4" w:rsidRDefault="00A317F4" w:rsidP="00A317F4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309" w:type="dxa"/>
            <w:vMerge/>
            <w:shd w:val="clear" w:color="auto" w:fill="1C819A"/>
          </w:tcPr>
          <w:p w14:paraId="29EC3EDA" w14:textId="77777777" w:rsidR="00A317F4" w:rsidRPr="003C0D0B" w:rsidRDefault="00A317F4" w:rsidP="00A317F4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</w:p>
        </w:tc>
      </w:tr>
      <w:tr w:rsidR="003C0D0B" w:rsidRPr="003C0D0B" w14:paraId="00DB1CAA" w14:textId="77777777" w:rsidTr="001429B9">
        <w:trPr>
          <w:trHeight w:val="1315"/>
        </w:trPr>
        <w:tc>
          <w:tcPr>
            <w:tcW w:w="2889" w:type="dxa"/>
            <w:shd w:val="clear" w:color="auto" w:fill="FFFFFF" w:themeFill="background1"/>
            <w:vAlign w:val="center"/>
          </w:tcPr>
          <w:p w14:paraId="4D76850B" w14:textId="77777777" w:rsidR="003C0D0B" w:rsidRPr="005160EE" w:rsidRDefault="003C0D0B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Travailleurs de la santé</w:t>
            </w:r>
          </w:p>
        </w:tc>
        <w:tc>
          <w:tcPr>
            <w:tcW w:w="2292" w:type="dxa"/>
            <w:shd w:val="clear" w:color="auto" w:fill="FFFFFF" w:themeFill="background1"/>
          </w:tcPr>
          <w:p w14:paraId="56DAD3E8" w14:textId="77777777" w:rsidR="003C0D0B" w:rsidRPr="005160EE" w:rsidRDefault="003C0D0B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24004E1D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Suite à un contact étroit avec un cas de SAG ou d’une infection respiratoire lorsqu’aucune mesure n’était en place, le travailleur doit surveiller l’apparition des symptômes jusqu’à 72 heures suivant le dern</w:t>
            </w:r>
            <w:r w:rsidR="0095461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ier contact avec le cas infecté</w:t>
            </w:r>
          </w:p>
        </w:tc>
        <w:tc>
          <w:tcPr>
            <w:tcW w:w="2291" w:type="dxa"/>
            <w:shd w:val="clear" w:color="auto" w:fill="FFFFFF" w:themeFill="background1"/>
          </w:tcPr>
          <w:p w14:paraId="3AC1786A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HelveticaNeueLT Std" w:hAnsi="HelveticaNeueLT Std"/>
                <w:sz w:val="17"/>
                <w:szCs w:val="17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Éviter les mouvements de personnel d’une unité en éclosion vers une unité ou une installation exempte d’éclosion</w:t>
            </w:r>
          </w:p>
          <w:p w14:paraId="2B355818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Rehausser le nombre de travailleurs dans l’unité touchée</w:t>
            </w:r>
          </w:p>
          <w:p w14:paraId="3881658A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Prophylaxie, traitement, vaccination, retour au travail : selon l’évaluation du risque ou la procédure locale déterminée</w:t>
            </w:r>
          </w:p>
        </w:tc>
        <w:tc>
          <w:tcPr>
            <w:tcW w:w="2275" w:type="dxa"/>
            <w:shd w:val="clear" w:color="auto" w:fill="FFFFFF" w:themeFill="background1"/>
          </w:tcPr>
          <w:p w14:paraId="57212A49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Réaliser au moins une rencontre avec les travailleurs de la santé de tous les quarts de travail </w:t>
            </w:r>
          </w:p>
          <w:p w14:paraId="2E60137A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Exclure le personnel non essentiel sur l’unité affectée</w:t>
            </w:r>
          </w:p>
          <w:p w14:paraId="36D80ACF" w14:textId="77777777" w:rsidR="003C0D0B" w:rsidRPr="005160EE" w:rsidRDefault="003C0D0B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Selon la procédure locale déterminée par le service de santé, suite à l’évaluation de la situation, offrir la prophylaxie antivirale aux travailleurs de la santé</w:t>
            </w:r>
            <w:r w:rsidR="0095461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circulant sur l’unité affectée</w:t>
            </w:r>
          </w:p>
        </w:tc>
        <w:tc>
          <w:tcPr>
            <w:tcW w:w="2309" w:type="dxa"/>
            <w:shd w:val="clear" w:color="auto" w:fill="FFFFFF" w:themeFill="background1"/>
          </w:tcPr>
          <w:p w14:paraId="192378B9" w14:textId="77777777" w:rsidR="003C0D0B" w:rsidRPr="005160EE" w:rsidRDefault="003C0D0B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8872E3" w:rsidRPr="003C0D0B" w14:paraId="3C094A7A" w14:textId="77777777" w:rsidTr="001429B9">
        <w:trPr>
          <w:trHeight w:val="529"/>
        </w:trPr>
        <w:tc>
          <w:tcPr>
            <w:tcW w:w="2889" w:type="dxa"/>
            <w:shd w:val="clear" w:color="auto" w:fill="D8E9EE"/>
            <w:vAlign w:val="center"/>
          </w:tcPr>
          <w:p w14:paraId="70E755DC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Hygiène et salubrité</w:t>
            </w:r>
          </w:p>
        </w:tc>
        <w:tc>
          <w:tcPr>
            <w:tcW w:w="2292" w:type="dxa"/>
            <w:shd w:val="clear" w:color="auto" w:fill="D8E9EE"/>
          </w:tcPr>
          <w:p w14:paraId="75D5CA49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2" w:type="dxa"/>
            <w:shd w:val="clear" w:color="auto" w:fill="D8E9EE"/>
          </w:tcPr>
          <w:p w14:paraId="25BE5785" w14:textId="77777777" w:rsidR="008872E3" w:rsidRPr="005160EE" w:rsidRDefault="008872E3" w:rsidP="00403DA4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ÉPI requis</w:t>
            </w:r>
            <w:r w:rsidR="00403DA4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selon l’affiche à l’entrée de la zone de soins</w:t>
            </w:r>
          </w:p>
          <w:p w14:paraId="12304CAE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À la cessation des précautions additionnelles ou au départ de l’usager :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br w:type="page"/>
            </w:r>
          </w:p>
          <w:p w14:paraId="61FA6E00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Procéder au nettoyage et à la désinfection complète de la salle de toilette et de la chambre </w:t>
            </w:r>
          </w:p>
          <w:p w14:paraId="5F5AD814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C</w:t>
            </w:r>
            <w:r w:rsidR="0067562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hanger les rideaux séparateurs</w:t>
            </w:r>
          </w:p>
          <w:p w14:paraId="3B206E8D" w14:textId="77777777" w:rsidR="008872E3" w:rsidRPr="005160EE" w:rsidRDefault="008872E3" w:rsidP="0095461B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Jeter le matériel ne pouvant être désinfecté, se trouvant dans la chambre et la salle de toilette</w:t>
            </w:r>
            <w:r w:rsidR="00705A49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</w:p>
        </w:tc>
        <w:tc>
          <w:tcPr>
            <w:tcW w:w="2291" w:type="dxa"/>
            <w:shd w:val="clear" w:color="auto" w:fill="D8E9EE"/>
          </w:tcPr>
          <w:p w14:paraId="663DF7A7" w14:textId="06B598F5" w:rsidR="00703F80" w:rsidRPr="005160EE" w:rsidRDefault="008872E3" w:rsidP="001719F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2C1F7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2C1F7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Nettoyer et désinfecter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1719F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selon les procédures locales</w:t>
            </w:r>
            <w:r w:rsidR="00703F8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les</w:t>
            </w:r>
            <w:r w:rsidR="001719F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espaces communs </w:t>
            </w:r>
          </w:p>
          <w:p w14:paraId="7252B91A" w14:textId="77777777" w:rsidR="008872E3" w:rsidRPr="005160EE" w:rsidRDefault="00971E7D" w:rsidP="00971E7D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1719F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Nettoyer et désinfecter les surfaces fréquemment touchées (</w:t>
            </w:r>
            <w:r w:rsidR="001719F6" w:rsidRPr="00CA44C2">
              <w:rPr>
                <w:rFonts w:ascii="HelveticaNeueLT Std" w:eastAsia="Times New Roman" w:hAnsi="HelveticaNeueLT Std" w:cs="Times New Roman"/>
                <w:i/>
                <w:color w:val="000000"/>
                <w:sz w:val="17"/>
                <w:szCs w:val="17"/>
                <w:lang w:eastAsia="fr-CA"/>
              </w:rPr>
              <w:t xml:space="preserve">High </w:t>
            </w:r>
            <w:proofErr w:type="spellStart"/>
            <w:r w:rsidR="001719F6" w:rsidRPr="00CA44C2">
              <w:rPr>
                <w:rFonts w:ascii="HelveticaNeueLT Std" w:eastAsia="Times New Roman" w:hAnsi="HelveticaNeueLT Std" w:cs="Times New Roman"/>
                <w:i/>
                <w:color w:val="000000"/>
                <w:sz w:val="17"/>
                <w:szCs w:val="17"/>
                <w:lang w:eastAsia="fr-CA"/>
              </w:rPr>
              <w:t>touch</w:t>
            </w:r>
            <w:proofErr w:type="spellEnd"/>
            <w:r w:rsidR="001719F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) et les surfaces à risque élevé de contamination des chambres et aires communes</w:t>
            </w:r>
            <w:r w:rsidR="0095461B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minimalement une fois par jour</w:t>
            </w:r>
          </w:p>
        </w:tc>
        <w:tc>
          <w:tcPr>
            <w:tcW w:w="2275" w:type="dxa"/>
            <w:shd w:val="clear" w:color="auto" w:fill="D8E9EE"/>
          </w:tcPr>
          <w:p w14:paraId="6A9408D0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309" w:type="dxa"/>
            <w:shd w:val="clear" w:color="auto" w:fill="D8E9EE"/>
          </w:tcPr>
          <w:p w14:paraId="4C2302D5" w14:textId="77777777" w:rsidR="008872E3" w:rsidRPr="005160EE" w:rsidRDefault="008872E3" w:rsidP="00D234BC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Nettoyer et désinfecter les chambres où ont séjourné des usagers symptomatiques si non fait lors de la cessation des précautions additionnelles </w:t>
            </w:r>
          </w:p>
          <w:p w14:paraId="7630751A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Nettoyer et désinfecter toutes les aires communes de l’unité avant la réouverture de l’unité</w:t>
            </w:r>
          </w:p>
        </w:tc>
      </w:tr>
    </w:tbl>
    <w:p w14:paraId="4B7AF0AD" w14:textId="77777777" w:rsidR="00AD33D1" w:rsidRDefault="00AD33D1"/>
    <w:p w14:paraId="46700C31" w14:textId="77777777" w:rsidR="00AD33D1" w:rsidRDefault="00AD33D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98"/>
        <w:gridCol w:w="2297"/>
        <w:gridCol w:w="2297"/>
        <w:gridCol w:w="2282"/>
        <w:gridCol w:w="2316"/>
      </w:tblGrid>
      <w:tr w:rsidR="00237A63" w:rsidRPr="00A317F4" w14:paraId="4E6550DE" w14:textId="77777777" w:rsidTr="001429B9">
        <w:trPr>
          <w:trHeight w:val="420"/>
          <w:tblHeader/>
        </w:trPr>
        <w:tc>
          <w:tcPr>
            <w:tcW w:w="2890" w:type="dxa"/>
            <w:vMerge w:val="restart"/>
            <w:shd w:val="clear" w:color="auto" w:fill="1C819A"/>
            <w:vAlign w:val="center"/>
            <w:hideMark/>
          </w:tcPr>
          <w:p w14:paraId="53908A7E" w14:textId="77777777" w:rsidR="00237A63" w:rsidRPr="00A317F4" w:rsidRDefault="00237A63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lastRenderedPageBreak/>
              <w:t>Item</w:t>
            </w:r>
          </w:p>
        </w:tc>
        <w:tc>
          <w:tcPr>
            <w:tcW w:w="2291" w:type="dxa"/>
            <w:vMerge w:val="restart"/>
            <w:shd w:val="clear" w:color="auto" w:fill="1C819A"/>
            <w:hideMark/>
          </w:tcPr>
          <w:p w14:paraId="6B1DE3AE" w14:textId="77777777" w:rsidR="00237A63" w:rsidRPr="00A317F4" w:rsidRDefault="00237A63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Préparation</w:t>
            </w:r>
          </w:p>
        </w:tc>
        <w:tc>
          <w:tcPr>
            <w:tcW w:w="2290" w:type="dxa"/>
            <w:shd w:val="clear" w:color="auto" w:fill="1C819A"/>
            <w:hideMark/>
          </w:tcPr>
          <w:p w14:paraId="74B4773B" w14:textId="77777777" w:rsidR="00237A63" w:rsidRPr="00A317F4" w:rsidRDefault="00237A63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Cas sporadiques</w:t>
            </w:r>
          </w:p>
        </w:tc>
        <w:tc>
          <w:tcPr>
            <w:tcW w:w="2290" w:type="dxa"/>
            <w:shd w:val="clear" w:color="auto" w:fill="1C819A"/>
            <w:hideMark/>
          </w:tcPr>
          <w:p w14:paraId="4A4EF75D" w14:textId="77777777" w:rsidR="00237A63" w:rsidRPr="00A317F4" w:rsidRDefault="00237A63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noProof/>
                <w:color w:val="000000"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B8758E" wp14:editId="1B8288E1">
                      <wp:simplePos x="0" y="0"/>
                      <wp:positionH relativeFrom="column">
                        <wp:posOffset>-2739390</wp:posOffset>
                      </wp:positionH>
                      <wp:positionV relativeFrom="paragraph">
                        <wp:posOffset>97790</wp:posOffset>
                      </wp:positionV>
                      <wp:extent cx="6981190" cy="295275"/>
                      <wp:effectExtent l="0" t="0" r="0" b="9525"/>
                      <wp:wrapNone/>
                      <wp:docPr id="25" name="Flèche droi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1190" cy="295275"/>
                              </a:xfrm>
                              <a:prstGeom prst="rightArrow">
                                <a:avLst>
                                  <a:gd name="adj1" fmla="val 20370"/>
                                  <a:gd name="adj2" fmla="val 480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68799" id="Flèche droite 25" o:spid="_x0000_s1026" type="#_x0000_t13" style="position:absolute;margin-left:-215.7pt;margin-top:7.7pt;width:549.7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utHQIAAB0EAAAOAAAAZHJzL2Uyb0RvYy54bWysU0tu2zAQ3RfoHQjua8lKE9uC5aCI4W6K&#10;JkDaAzD8SCz4w5C17J6o9+jFOqQVx013RbWghhzyzbw3M+vbgzVkLyFq7zo6n9WUSMe90K7v6Ncv&#10;u3dLSmJiTjDjnezoUUZ6u3n7Zj2GVjZ+8EZIIAjiYjuGjg4phbaqIh+kZXHmg3ToVB4sS7iFvhLA&#10;RkS3pmrq+qYaPYgAnssY8XR7ctJNwVdK8nSvVJSJmI5ibqmsUNanvFabNWt7YGHQfEqD/UMWlmmH&#10;Qc9QW5YY+Q76LyirOfjoVZpxbyuvlOaycEA28/oVm8eBBVm4oDgxnGWK/w+Wf94/ANGio801JY5Z&#10;rNHO/PqJ+hMBXidJ0IEqjSG2ePkxPMC0i2hmygcFNv+RDDkUZY9nZeUhEY6HN6vlfL7CAnD0Navr&#10;ZlFAq5fXAWL6KL0l2ego6H5IHwD8WGRl+08xFX3FlCQT3+aUKGuwXHtmSFNfLZ7LeXGnubzzfllf&#10;rTIZjDshovUcOcNHb7TYaWPK5hjvDBBE7yi2nMBciGEx4SGKVL4J7I9nxpERR6FZ1Jkvw6ZWhiU0&#10;bUCZo+spYabHaeEJCjnnc8TSiTmXLYvDKWiBzSFYa7ESQIy2HV3W+ZsiG5e9snQ6SpS55UqdapOt&#10;Jy+OWGEc0XSPizIek+NGB0oGDz9en0Eyd/40K8xxvNHRVEJlLOzBot00L7nJL/cl9stUb34DAAD/&#10;/wMAUEsDBBQABgAIAAAAIQAQCK+03wAAAAoBAAAPAAAAZHJzL2Rvd25yZXYueG1sTI/NTsMwEITv&#10;SLyDtUjcWidQoiaNUyH+RI8NRb26sYkj4nVqu23y9iwnOO2uZjT7Tbkebc/O2ofOoYB0ngDT2DjV&#10;YStg9/E6WwILUaKSvUMtYNIB1tX1VSkL5S641ec6toxCMBRSgIlxKDgPjdFWhrkbNJL25byVkU7f&#10;cuXlhcJtz++SJONWdkgfjBz0k9HNd32yAoZNdnw/vm33rZmec/z09csun4S4vRkfV8CiHuOfGX7x&#10;CR0qYjq4E6rAegGzxX26IC8pDzTJkWVLanegJc2BVyX/X6H6AQAA//8DAFBLAQItABQABgAIAAAA&#10;IQC2gziS/gAAAOEBAAATAAAAAAAAAAAAAAAAAAAAAABbQ29udGVudF9UeXBlc10ueG1sUEsBAi0A&#10;FAAGAAgAAAAhADj9If/WAAAAlAEAAAsAAAAAAAAAAAAAAAAALwEAAF9yZWxzLy5yZWxzUEsBAi0A&#10;FAAGAAgAAAAhAEUjm60dAgAAHQQAAA4AAAAAAAAAAAAAAAAALgIAAGRycy9lMm9Eb2MueG1sUEsB&#10;Ai0AFAAGAAgAAAAhABAIr7TfAAAACgEAAA8AAAAAAAAAAAAAAAAAdwQAAGRycy9kb3ducmV2Lnht&#10;bFBLBQYAAAAABAAEAPMAAACDBQAAAAA=&#10;" adj="21161,8600" fillcolor="window" stroked="f" strokeweight="1pt"/>
                  </w:pict>
                </mc:Fallback>
              </mc:AlternateContent>
            </w: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</w:t>
            </w:r>
          </w:p>
        </w:tc>
        <w:tc>
          <w:tcPr>
            <w:tcW w:w="2275" w:type="dxa"/>
            <w:shd w:val="clear" w:color="auto" w:fill="1C819A"/>
            <w:hideMark/>
          </w:tcPr>
          <w:p w14:paraId="52747809" w14:textId="77777777" w:rsidR="00237A63" w:rsidRPr="00A317F4" w:rsidRDefault="00237A63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 majeure</w:t>
            </w:r>
          </w:p>
        </w:tc>
        <w:tc>
          <w:tcPr>
            <w:tcW w:w="2309" w:type="dxa"/>
            <w:vMerge w:val="restart"/>
            <w:shd w:val="clear" w:color="auto" w:fill="1C819A"/>
          </w:tcPr>
          <w:p w14:paraId="592DD586" w14:textId="77777777" w:rsidR="00237A63" w:rsidRPr="00A317F4" w:rsidRDefault="00237A63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Fin d'éclosion</w:t>
            </w:r>
          </w:p>
        </w:tc>
      </w:tr>
      <w:tr w:rsidR="00237A63" w:rsidRPr="00A317F4" w14:paraId="6263E6EE" w14:textId="77777777" w:rsidTr="001429B9">
        <w:trPr>
          <w:trHeight w:val="549"/>
          <w:tblHeader/>
        </w:trPr>
        <w:tc>
          <w:tcPr>
            <w:tcW w:w="2890" w:type="dxa"/>
            <w:vMerge/>
            <w:shd w:val="clear" w:color="auto" w:fill="279CBA"/>
            <w:vAlign w:val="center"/>
            <w:hideMark/>
          </w:tcPr>
          <w:p w14:paraId="1FDC30AA" w14:textId="77777777" w:rsidR="00237A63" w:rsidRPr="00A317F4" w:rsidRDefault="00237A63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1" w:type="dxa"/>
            <w:vMerge/>
            <w:shd w:val="clear" w:color="auto" w:fill="279CBA"/>
            <w:noWrap/>
            <w:vAlign w:val="center"/>
            <w:hideMark/>
          </w:tcPr>
          <w:p w14:paraId="5D439F55" w14:textId="77777777" w:rsidR="00237A63" w:rsidRPr="00A317F4" w:rsidRDefault="00237A63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0" w:type="dxa"/>
            <w:shd w:val="clear" w:color="auto" w:fill="1C819A"/>
            <w:vAlign w:val="center"/>
            <w:hideMark/>
          </w:tcPr>
          <w:p w14:paraId="064454DA" w14:textId="77777777" w:rsidR="00237A63" w:rsidRPr="00A317F4" w:rsidRDefault="00237A63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Mesures à appliquer</w:t>
            </w:r>
          </w:p>
        </w:tc>
        <w:tc>
          <w:tcPr>
            <w:tcW w:w="2290" w:type="dxa"/>
            <w:shd w:val="clear" w:color="auto" w:fill="1C819A"/>
            <w:vAlign w:val="center"/>
            <w:hideMark/>
          </w:tcPr>
          <w:p w14:paraId="0677E1ED" w14:textId="77777777" w:rsidR="00237A63" w:rsidRPr="00A317F4" w:rsidRDefault="00237A63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275" w:type="dxa"/>
            <w:shd w:val="clear" w:color="auto" w:fill="1C819A"/>
            <w:vAlign w:val="center"/>
            <w:hideMark/>
          </w:tcPr>
          <w:p w14:paraId="4022F373" w14:textId="77777777" w:rsidR="00237A63" w:rsidRPr="00A317F4" w:rsidRDefault="00237A63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A317F4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309" w:type="dxa"/>
            <w:vMerge/>
            <w:shd w:val="clear" w:color="auto" w:fill="1C819A"/>
          </w:tcPr>
          <w:p w14:paraId="17E25F04" w14:textId="77777777" w:rsidR="00237A63" w:rsidRPr="00A317F4" w:rsidRDefault="00237A63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</w:p>
        </w:tc>
      </w:tr>
      <w:tr w:rsidR="008872E3" w:rsidRPr="003C0D0B" w14:paraId="52170D52" w14:textId="77777777" w:rsidTr="001429B9">
        <w:trPr>
          <w:trHeight w:val="850"/>
        </w:trPr>
        <w:tc>
          <w:tcPr>
            <w:tcW w:w="2890" w:type="dxa"/>
            <w:shd w:val="clear" w:color="auto" w:fill="FFFFFF" w:themeFill="background1"/>
            <w:vAlign w:val="center"/>
            <w:hideMark/>
          </w:tcPr>
          <w:p w14:paraId="2D9F276E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Équipements de soins</w:t>
            </w:r>
          </w:p>
        </w:tc>
        <w:tc>
          <w:tcPr>
            <w:tcW w:w="2291" w:type="dxa"/>
            <w:shd w:val="clear" w:color="auto" w:fill="FFFFFF" w:themeFill="background1"/>
            <w:hideMark/>
          </w:tcPr>
          <w:p w14:paraId="4DB8812D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Équipements de soins requis disponibles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3A406980" w14:textId="77777777" w:rsidR="008872E3" w:rsidRPr="005160EE" w:rsidRDefault="008872E3" w:rsidP="00A317F4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Équipement de soins dédié à l’usager symptomatique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541C1849" w14:textId="77777777" w:rsidR="008872E3" w:rsidRPr="005160EE" w:rsidRDefault="00A317F4" w:rsidP="00A317F4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253F0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Idéalement, nettoyer et désinfecter quotidiennement les équipements (appareils multifonctions, matériel électronique ou informatique, les fauteuils roulants, le lève-personne, etc.) en circulation sur l’unité en éclosion, en plus de la d</w:t>
            </w:r>
            <w:r w:rsidR="00703F8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ésinfection entre chaque usager</w:t>
            </w:r>
          </w:p>
        </w:tc>
        <w:tc>
          <w:tcPr>
            <w:tcW w:w="2275" w:type="dxa"/>
            <w:shd w:val="clear" w:color="auto" w:fill="FFFFFF" w:themeFill="background1"/>
            <w:hideMark/>
          </w:tcPr>
          <w:p w14:paraId="54DC789E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309" w:type="dxa"/>
            <w:shd w:val="clear" w:color="auto" w:fill="FFFFFF" w:themeFill="background1"/>
            <w:hideMark/>
          </w:tcPr>
          <w:p w14:paraId="682B0EEE" w14:textId="77777777" w:rsidR="00C167F6" w:rsidRDefault="00A317F4" w:rsidP="00A317F4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D234BC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Nettoyer et désinfecter les équipements (appareils multifonctions, matériel électronique ou informatique, les fauteuils roulants, le lève-personne, etc.) présents sur l’unité, </w:t>
            </w:r>
          </w:p>
          <w:p w14:paraId="290C25E8" w14:textId="721833D6" w:rsidR="008872E3" w:rsidRPr="005160EE" w:rsidRDefault="00C167F6" w:rsidP="00C167F6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  <w:t>D</w:t>
            </w:r>
            <w:r w:rsidR="00D234BC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ésigner une personne responsable de cette tâche</w:t>
            </w:r>
          </w:p>
        </w:tc>
      </w:tr>
      <w:tr w:rsidR="008872E3" w:rsidRPr="003C0D0B" w14:paraId="3086C5CC" w14:textId="77777777" w:rsidTr="001429B9">
        <w:trPr>
          <w:trHeight w:val="541"/>
        </w:trPr>
        <w:tc>
          <w:tcPr>
            <w:tcW w:w="2890" w:type="dxa"/>
            <w:shd w:val="clear" w:color="auto" w:fill="D8E9EE"/>
            <w:vAlign w:val="center"/>
            <w:hideMark/>
          </w:tcPr>
          <w:p w14:paraId="5966ED09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Buanderie-lingerie</w:t>
            </w:r>
          </w:p>
        </w:tc>
        <w:tc>
          <w:tcPr>
            <w:tcW w:w="2291" w:type="dxa"/>
            <w:shd w:val="clear" w:color="auto" w:fill="D8E9EE"/>
            <w:hideMark/>
          </w:tcPr>
          <w:p w14:paraId="5CA061D6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D8E9EE"/>
            <w:vAlign w:val="center"/>
            <w:hideMark/>
          </w:tcPr>
          <w:p w14:paraId="0FD63A58" w14:textId="77777777" w:rsidR="008872E3" w:rsidRPr="005160EE" w:rsidRDefault="008872E3" w:rsidP="00477B10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Procédures régulières de l’établissement</w:t>
            </w:r>
          </w:p>
        </w:tc>
        <w:tc>
          <w:tcPr>
            <w:tcW w:w="2290" w:type="dxa"/>
            <w:shd w:val="clear" w:color="auto" w:fill="D8E9EE"/>
            <w:hideMark/>
          </w:tcPr>
          <w:p w14:paraId="2888EF27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5" w:type="dxa"/>
            <w:shd w:val="clear" w:color="auto" w:fill="D8E9EE"/>
            <w:hideMark/>
          </w:tcPr>
          <w:p w14:paraId="284B72F3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309" w:type="dxa"/>
            <w:shd w:val="clear" w:color="auto" w:fill="D8E9EE"/>
            <w:hideMark/>
          </w:tcPr>
          <w:p w14:paraId="7185AE90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8872E3" w:rsidRPr="003C0D0B" w14:paraId="5DEE4848" w14:textId="77777777" w:rsidTr="001429B9">
        <w:trPr>
          <w:trHeight w:val="663"/>
        </w:trPr>
        <w:tc>
          <w:tcPr>
            <w:tcW w:w="2890" w:type="dxa"/>
            <w:shd w:val="clear" w:color="auto" w:fill="FFFFFF" w:themeFill="background1"/>
            <w:vAlign w:val="center"/>
            <w:hideMark/>
          </w:tcPr>
          <w:p w14:paraId="3D5EE3C6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Déchets</w:t>
            </w:r>
          </w:p>
        </w:tc>
        <w:tc>
          <w:tcPr>
            <w:tcW w:w="2291" w:type="dxa"/>
            <w:shd w:val="clear" w:color="auto" w:fill="FFFFFF" w:themeFill="background1"/>
            <w:hideMark/>
          </w:tcPr>
          <w:p w14:paraId="7C54F366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FFFFFF" w:themeFill="background1"/>
            <w:vAlign w:val="center"/>
            <w:hideMark/>
          </w:tcPr>
          <w:p w14:paraId="620A9367" w14:textId="77777777" w:rsidR="008872E3" w:rsidRPr="005160EE" w:rsidRDefault="008872E3" w:rsidP="00477B10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Appliquer les procédures régulières de l’établissement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4AC5C04B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75" w:type="dxa"/>
            <w:shd w:val="clear" w:color="auto" w:fill="FFFFFF" w:themeFill="background1"/>
            <w:hideMark/>
          </w:tcPr>
          <w:p w14:paraId="1F6EC9FA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309" w:type="dxa"/>
            <w:shd w:val="clear" w:color="auto" w:fill="FFFFFF" w:themeFill="background1"/>
            <w:hideMark/>
          </w:tcPr>
          <w:p w14:paraId="78472F4B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8872E3" w:rsidRPr="003C0D0B" w14:paraId="41BF9BE7" w14:textId="77777777" w:rsidTr="001429B9">
        <w:trPr>
          <w:trHeight w:val="1537"/>
        </w:trPr>
        <w:tc>
          <w:tcPr>
            <w:tcW w:w="2890" w:type="dxa"/>
            <w:shd w:val="clear" w:color="auto" w:fill="D8E9EE"/>
            <w:vAlign w:val="center"/>
            <w:hideMark/>
          </w:tcPr>
          <w:p w14:paraId="1957CBB3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Services alimentaires</w:t>
            </w:r>
          </w:p>
        </w:tc>
        <w:tc>
          <w:tcPr>
            <w:tcW w:w="2291" w:type="dxa"/>
            <w:shd w:val="clear" w:color="auto" w:fill="D8E9EE"/>
            <w:hideMark/>
          </w:tcPr>
          <w:p w14:paraId="582E47D3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D8E9EE"/>
            <w:hideMark/>
          </w:tcPr>
          <w:p w14:paraId="02865388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Procédures régulières de l’établissement</w:t>
            </w:r>
          </w:p>
        </w:tc>
        <w:tc>
          <w:tcPr>
            <w:tcW w:w="2290" w:type="dxa"/>
            <w:shd w:val="clear" w:color="auto" w:fill="D8E9EE"/>
            <w:hideMark/>
          </w:tcPr>
          <w:p w14:paraId="763F2EC4" w14:textId="77777777" w:rsidR="008872E3" w:rsidRPr="005160EE" w:rsidRDefault="00A317F4" w:rsidP="00A317F4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253F0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Éviter le partage de nourriture ou d’objets (ex.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  <w:r w:rsidR="00253F0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: salière, poivrière, sucrier, etc.) dans les aires communes d’alimentation (zones pour les usagers ou pour les travailleurs).</w:t>
            </w:r>
          </w:p>
        </w:tc>
        <w:tc>
          <w:tcPr>
            <w:tcW w:w="2275" w:type="dxa"/>
            <w:shd w:val="clear" w:color="auto" w:fill="D8E9EE"/>
            <w:hideMark/>
          </w:tcPr>
          <w:p w14:paraId="70F21568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309" w:type="dxa"/>
            <w:shd w:val="clear" w:color="auto" w:fill="D8E9EE"/>
            <w:hideMark/>
          </w:tcPr>
          <w:p w14:paraId="122C1F76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8872E3" w:rsidRPr="003C0D0B" w14:paraId="69592925" w14:textId="77777777" w:rsidTr="001429B9">
        <w:trPr>
          <w:trHeight w:val="1392"/>
        </w:trPr>
        <w:tc>
          <w:tcPr>
            <w:tcW w:w="2890" w:type="dxa"/>
            <w:shd w:val="clear" w:color="auto" w:fill="FFFFFF" w:themeFill="background1"/>
            <w:vAlign w:val="center"/>
            <w:hideMark/>
          </w:tcPr>
          <w:p w14:paraId="6ECCC2EF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Chef d’unité ou personne responsable du secteur</w:t>
            </w:r>
          </w:p>
        </w:tc>
        <w:tc>
          <w:tcPr>
            <w:tcW w:w="2291" w:type="dxa"/>
            <w:shd w:val="clear" w:color="auto" w:fill="FFFFFF" w:themeFill="background1"/>
            <w:hideMark/>
          </w:tcPr>
          <w:p w14:paraId="405F38BF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2010BCD9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3D2992EB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S’assurer du respect des politiques et procédures</w:t>
            </w:r>
          </w:p>
          <w:p w14:paraId="7EF62326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Tableau synoptique des cas chez les usagers et les travailleurs de la santé à compléter à chaque quart de travail</w:t>
            </w:r>
          </w:p>
        </w:tc>
        <w:tc>
          <w:tcPr>
            <w:tcW w:w="2275" w:type="dxa"/>
            <w:shd w:val="clear" w:color="auto" w:fill="FFFFFF" w:themeFill="background1"/>
            <w:hideMark/>
          </w:tcPr>
          <w:p w14:paraId="43AF6A95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309" w:type="dxa"/>
            <w:shd w:val="clear" w:color="auto" w:fill="FFFFFF" w:themeFill="background1"/>
            <w:hideMark/>
          </w:tcPr>
          <w:p w14:paraId="3B98A0AF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</w:tbl>
    <w:p w14:paraId="1C8C6CE6" w14:textId="77777777" w:rsidR="00237A63" w:rsidRDefault="00237A63"/>
    <w:p w14:paraId="523A8214" w14:textId="77777777" w:rsidR="00237A63" w:rsidRDefault="00237A6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2296"/>
        <w:gridCol w:w="2297"/>
        <w:gridCol w:w="2297"/>
        <w:gridCol w:w="2286"/>
        <w:gridCol w:w="2316"/>
      </w:tblGrid>
      <w:tr w:rsidR="00237A63" w:rsidRPr="00237A63" w14:paraId="43A0F24D" w14:textId="77777777" w:rsidTr="001429B9">
        <w:trPr>
          <w:trHeight w:val="420"/>
        </w:trPr>
        <w:tc>
          <w:tcPr>
            <w:tcW w:w="2891" w:type="dxa"/>
            <w:vMerge w:val="restart"/>
            <w:shd w:val="clear" w:color="auto" w:fill="1C819A"/>
            <w:vAlign w:val="center"/>
            <w:hideMark/>
          </w:tcPr>
          <w:p w14:paraId="299D20E5" w14:textId="77777777" w:rsidR="00237A63" w:rsidRPr="00237A63" w:rsidRDefault="00237A63" w:rsidP="00237A63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lastRenderedPageBreak/>
              <w:t>Item</w:t>
            </w:r>
          </w:p>
        </w:tc>
        <w:tc>
          <w:tcPr>
            <w:tcW w:w="2290" w:type="dxa"/>
            <w:vMerge w:val="restart"/>
            <w:shd w:val="clear" w:color="auto" w:fill="1C819A"/>
            <w:hideMark/>
          </w:tcPr>
          <w:p w14:paraId="0C03ACB0" w14:textId="77777777" w:rsidR="00237A63" w:rsidRPr="00237A63" w:rsidRDefault="00237A63" w:rsidP="00237A63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Préparation</w:t>
            </w:r>
          </w:p>
        </w:tc>
        <w:tc>
          <w:tcPr>
            <w:tcW w:w="2290" w:type="dxa"/>
            <w:shd w:val="clear" w:color="auto" w:fill="1C819A"/>
            <w:hideMark/>
          </w:tcPr>
          <w:p w14:paraId="040497F6" w14:textId="77777777" w:rsidR="00237A63" w:rsidRPr="00237A63" w:rsidRDefault="00237A63" w:rsidP="00237A63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Cas sporadiques</w:t>
            </w:r>
          </w:p>
        </w:tc>
        <w:tc>
          <w:tcPr>
            <w:tcW w:w="2290" w:type="dxa"/>
            <w:shd w:val="clear" w:color="auto" w:fill="1C819A"/>
            <w:hideMark/>
          </w:tcPr>
          <w:p w14:paraId="3F465870" w14:textId="77777777" w:rsidR="00237A63" w:rsidRPr="00237A63" w:rsidRDefault="00237A63" w:rsidP="00237A63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noProof/>
                <w:color w:val="000000"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C9CD5E" wp14:editId="4DD880BD">
                      <wp:simplePos x="0" y="0"/>
                      <wp:positionH relativeFrom="column">
                        <wp:posOffset>-2739390</wp:posOffset>
                      </wp:positionH>
                      <wp:positionV relativeFrom="paragraph">
                        <wp:posOffset>97790</wp:posOffset>
                      </wp:positionV>
                      <wp:extent cx="6981190" cy="295275"/>
                      <wp:effectExtent l="0" t="0" r="0" b="9525"/>
                      <wp:wrapNone/>
                      <wp:docPr id="27" name="Flèche droi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1190" cy="295275"/>
                              </a:xfrm>
                              <a:prstGeom prst="rightArrow">
                                <a:avLst>
                                  <a:gd name="adj1" fmla="val 20370"/>
                                  <a:gd name="adj2" fmla="val 480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D6A58" id="Flèche droite 27" o:spid="_x0000_s1026" type="#_x0000_t13" style="position:absolute;margin-left:-215.7pt;margin-top:7.7pt;width:549.7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ycHQIAAB0EAAAOAAAAZHJzL2Uyb0RvYy54bWysU0tu2zAQ3RfoHQjua8lKE9uC5aCI4W6K&#10;JkDaAzD8SCz4w5C17J6o9+jFOqQVx013RbWgSM7wzcx7M+vbgzVkLyFq7zo6n9WUSMe90K7v6Ncv&#10;u3dLSmJiTjDjnezoUUZ6u3n7Zj2GVjZ+8EZIIAjiYjuGjg4phbaqIh+kZXHmg3RoVB4sS3iEvhLA&#10;RkS3pmrq+qYaPYgAnssY8XZ7MtJNwVdK8nSvVJSJmI5ibqmsUNanvFabNWt7YGHQfEqD/UMWlmmH&#10;Qc9QW5YY+Q76LyirOfjoVZpxbyuvlOay1IDVzOtX1TwOLMhSC5ITw5mm+P9g+ef9AxAtOtosKHHM&#10;okY78+sn8k8EeJ0kQQOyNIbYovNjeIDpFHGbSz4osPmPxZBDYfZ4ZlYeEuF4ebNazucrFICjrVld&#10;N4vrDFq9vA4Q00fpLcmbjoLuh/QBwI+FVrb/FFPhV0xJMvFtTomyBuXaM0Oa+mrxLOeFT3Pp835Z&#10;X62muBMiZvAcOcNHb7TYaWPK4RjvDBBE7yi2nMBciGEx4SWSVL4J7I9nxpERR6FZ1Llehk2tDEu4&#10;tQFpjq6nhJkep4UnKMU5nyOWTsy5bFkcTkELbA7BWotKADHadnRZ52+KbFy2ytLpSFHmNCt10ibv&#10;nrw4osI4oukeF2U8JseNDpQMHn68voNk7vxpVpjj6NHRVEJlLOzBotk0L7nJL88l9stUb34DAAD/&#10;/wMAUEsDBBQABgAIAAAAIQAQCK+03wAAAAoBAAAPAAAAZHJzL2Rvd25yZXYueG1sTI/NTsMwEITv&#10;SLyDtUjcWidQoiaNUyH+RI8NRb26sYkj4nVqu23y9iwnOO2uZjT7Tbkebc/O2ofOoYB0ngDT2DjV&#10;YStg9/E6WwILUaKSvUMtYNIB1tX1VSkL5S641ec6toxCMBRSgIlxKDgPjdFWhrkbNJL25byVkU7f&#10;cuXlhcJtz++SJONWdkgfjBz0k9HNd32yAoZNdnw/vm33rZmec/z09csun4S4vRkfV8CiHuOfGX7x&#10;CR0qYjq4E6rAegGzxX26IC8pDzTJkWVLanegJc2BVyX/X6H6AQAA//8DAFBLAQItABQABgAIAAAA&#10;IQC2gziS/gAAAOEBAAATAAAAAAAAAAAAAAAAAAAAAABbQ29udGVudF9UeXBlc10ueG1sUEsBAi0A&#10;FAAGAAgAAAAhADj9If/WAAAAlAEAAAsAAAAAAAAAAAAAAAAALwEAAF9yZWxzLy5yZWxzUEsBAi0A&#10;FAAGAAgAAAAhAAxQDJwdAgAAHQQAAA4AAAAAAAAAAAAAAAAALgIAAGRycy9lMm9Eb2MueG1sUEsB&#10;Ai0AFAAGAAgAAAAhABAIr7TfAAAACgEAAA8AAAAAAAAAAAAAAAAAdwQAAGRycy9kb3ducmV2Lnht&#10;bFBLBQYAAAAABAAEAPMAAACDBQAAAAA=&#10;" adj="21161,8600" fillcolor="window" stroked="f" strokeweight="1pt"/>
                  </w:pict>
                </mc:Fallback>
              </mc:AlternateContent>
            </w: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</w:t>
            </w:r>
          </w:p>
        </w:tc>
        <w:tc>
          <w:tcPr>
            <w:tcW w:w="2279" w:type="dxa"/>
            <w:shd w:val="clear" w:color="auto" w:fill="1C819A"/>
            <w:hideMark/>
          </w:tcPr>
          <w:p w14:paraId="08BB90A4" w14:textId="77777777" w:rsidR="00237A63" w:rsidRPr="00237A63" w:rsidRDefault="00237A63" w:rsidP="00237A63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 majeure</w:t>
            </w:r>
          </w:p>
        </w:tc>
        <w:tc>
          <w:tcPr>
            <w:tcW w:w="2309" w:type="dxa"/>
            <w:vMerge w:val="restart"/>
            <w:shd w:val="clear" w:color="auto" w:fill="1C819A"/>
          </w:tcPr>
          <w:p w14:paraId="1EA88FCA" w14:textId="77777777" w:rsidR="00237A63" w:rsidRPr="00237A63" w:rsidRDefault="00237A63" w:rsidP="00237A63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Fin d'éclosion</w:t>
            </w:r>
          </w:p>
        </w:tc>
      </w:tr>
      <w:tr w:rsidR="00237A63" w:rsidRPr="00237A63" w14:paraId="703081D6" w14:textId="77777777" w:rsidTr="001429B9">
        <w:trPr>
          <w:trHeight w:val="549"/>
        </w:trPr>
        <w:tc>
          <w:tcPr>
            <w:tcW w:w="2891" w:type="dxa"/>
            <w:vMerge/>
            <w:shd w:val="clear" w:color="auto" w:fill="279CBA"/>
            <w:vAlign w:val="center"/>
            <w:hideMark/>
          </w:tcPr>
          <w:p w14:paraId="107C5D7A" w14:textId="77777777" w:rsidR="00237A63" w:rsidRPr="00237A63" w:rsidRDefault="00237A63" w:rsidP="00237A63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0" w:type="dxa"/>
            <w:vMerge/>
            <w:shd w:val="clear" w:color="auto" w:fill="279CBA"/>
            <w:noWrap/>
            <w:vAlign w:val="center"/>
            <w:hideMark/>
          </w:tcPr>
          <w:p w14:paraId="0E1ABB35" w14:textId="77777777" w:rsidR="00237A63" w:rsidRPr="00237A63" w:rsidRDefault="00237A63" w:rsidP="00237A63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0" w:type="dxa"/>
            <w:shd w:val="clear" w:color="auto" w:fill="1C819A"/>
            <w:vAlign w:val="center"/>
            <w:hideMark/>
          </w:tcPr>
          <w:p w14:paraId="328CA856" w14:textId="77777777" w:rsidR="00237A63" w:rsidRPr="00237A63" w:rsidRDefault="00237A63" w:rsidP="00237A63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Mesures à appliquer</w:t>
            </w:r>
          </w:p>
        </w:tc>
        <w:tc>
          <w:tcPr>
            <w:tcW w:w="2290" w:type="dxa"/>
            <w:shd w:val="clear" w:color="auto" w:fill="1C819A"/>
            <w:vAlign w:val="center"/>
            <w:hideMark/>
          </w:tcPr>
          <w:p w14:paraId="5922BB0A" w14:textId="77777777" w:rsidR="00237A63" w:rsidRPr="00237A63" w:rsidRDefault="00237A63" w:rsidP="00237A63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279" w:type="dxa"/>
            <w:shd w:val="clear" w:color="auto" w:fill="1C819A"/>
            <w:vAlign w:val="center"/>
            <w:hideMark/>
          </w:tcPr>
          <w:p w14:paraId="246E59A2" w14:textId="77777777" w:rsidR="00237A63" w:rsidRPr="00237A63" w:rsidRDefault="00237A63" w:rsidP="00237A63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309" w:type="dxa"/>
            <w:vMerge/>
            <w:shd w:val="clear" w:color="auto" w:fill="1C819A"/>
          </w:tcPr>
          <w:p w14:paraId="38715E04" w14:textId="77777777" w:rsidR="00237A63" w:rsidRPr="00237A63" w:rsidRDefault="00237A63" w:rsidP="00237A63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</w:p>
        </w:tc>
      </w:tr>
      <w:tr w:rsidR="008872E3" w:rsidRPr="003C0D0B" w14:paraId="6C1211CE" w14:textId="77777777" w:rsidTr="001429B9">
        <w:trPr>
          <w:trHeight w:val="130"/>
        </w:trPr>
        <w:tc>
          <w:tcPr>
            <w:tcW w:w="2891" w:type="dxa"/>
            <w:shd w:val="clear" w:color="auto" w:fill="D8E9EE"/>
            <w:vAlign w:val="center"/>
            <w:hideMark/>
          </w:tcPr>
          <w:p w14:paraId="0FF1EC66" w14:textId="230D9D45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9E35B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 xml:space="preserve">Conseillère en </w:t>
            </w:r>
            <w:r w:rsidR="009E35B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prévention et contrôle des infections (</w:t>
            </w:r>
            <w:r w:rsidRPr="009E35B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PCI</w:t>
            </w:r>
            <w:r w:rsidR="009E35B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)</w:t>
            </w:r>
          </w:p>
        </w:tc>
        <w:tc>
          <w:tcPr>
            <w:tcW w:w="2290" w:type="dxa"/>
            <w:shd w:val="clear" w:color="auto" w:fill="D8E9EE"/>
            <w:hideMark/>
          </w:tcPr>
          <w:p w14:paraId="4F06D00F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D8E9EE"/>
            <w:hideMark/>
          </w:tcPr>
          <w:p w14:paraId="5368A278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D8E9EE"/>
            <w:hideMark/>
          </w:tcPr>
          <w:p w14:paraId="702DB952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AD33D1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AD33D1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="00253F0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Documenter quotidiennement les cas avec le chef d’unité et établir la courbe épidémique</w:t>
            </w:r>
          </w:p>
          <w:p w14:paraId="252B75ED" w14:textId="77777777" w:rsidR="008872E3" w:rsidRPr="005160EE" w:rsidRDefault="008872E3" w:rsidP="00D234BC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AD33D1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Calculer le taux d’attaque ou l’incidence</w:t>
            </w:r>
          </w:p>
        </w:tc>
        <w:tc>
          <w:tcPr>
            <w:tcW w:w="2279" w:type="dxa"/>
            <w:shd w:val="clear" w:color="auto" w:fill="D8E9EE"/>
            <w:hideMark/>
          </w:tcPr>
          <w:p w14:paraId="0F57D7BF" w14:textId="77777777" w:rsidR="008872E3" w:rsidRPr="005160EE" w:rsidRDefault="00BD65DE" w:rsidP="00BD65DE">
            <w:pPr>
              <w:spacing w:after="0" w:line="240" w:lineRule="auto"/>
              <w:ind w:left="170" w:hanging="170"/>
              <w:rPr>
                <w:rFonts w:ascii="HelveticaNeueLT Std" w:hAnsi="HelveticaNeueLT Std"/>
                <w:sz w:val="17"/>
                <w:szCs w:val="17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D234BC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Poursuivre l’enquête épidémiologique pour déterminer la source de transmission et apporter les correctifs nécessaires si les mesures de contrôle appliquées ne sont pas efficaces </w:t>
            </w:r>
          </w:p>
        </w:tc>
        <w:tc>
          <w:tcPr>
            <w:tcW w:w="2309" w:type="dxa"/>
            <w:shd w:val="clear" w:color="auto" w:fill="D8E9EE"/>
            <w:hideMark/>
          </w:tcPr>
          <w:p w14:paraId="37FC7B47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8872E3" w:rsidRPr="003C0D0B" w14:paraId="4B8D0A8E" w14:textId="77777777" w:rsidTr="001429B9">
        <w:trPr>
          <w:trHeight w:val="975"/>
        </w:trPr>
        <w:tc>
          <w:tcPr>
            <w:tcW w:w="2891" w:type="dxa"/>
            <w:shd w:val="clear" w:color="auto" w:fill="FFFFFF" w:themeFill="background1"/>
            <w:vAlign w:val="center"/>
            <w:hideMark/>
          </w:tcPr>
          <w:p w14:paraId="0C4202D3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Comité de gestion d’éclosion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5B731D36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6A34822C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7B72BEDA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Mettre en place un comité de gestion d’éclosion</w:t>
            </w:r>
          </w:p>
        </w:tc>
        <w:tc>
          <w:tcPr>
            <w:tcW w:w="2279" w:type="dxa"/>
            <w:shd w:val="clear" w:color="auto" w:fill="FFFFFF" w:themeFill="background1"/>
            <w:hideMark/>
          </w:tcPr>
          <w:p w14:paraId="7C10AE79" w14:textId="77777777" w:rsidR="008872E3" w:rsidRPr="005160EE" w:rsidRDefault="00BD65DE" w:rsidP="00BD65DE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8872E3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Ajuster la composition du comité de gestion d’éclosion selon l’ampleur de la situation</w:t>
            </w:r>
          </w:p>
          <w:p w14:paraId="27024CC6" w14:textId="77777777" w:rsidR="00FC130D" w:rsidRPr="005160EE" w:rsidRDefault="00BD65DE" w:rsidP="00BD65DE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FC130D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S’assurer que le directeur général ou son représentant, ainsi qu’un membre de l’équipe de communication en fassent partie, et c</w:t>
            </w:r>
            <w:r w:rsidR="00705A49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e, jusqu’à la fin de l’éclosion</w:t>
            </w:r>
          </w:p>
        </w:tc>
        <w:tc>
          <w:tcPr>
            <w:tcW w:w="2309" w:type="dxa"/>
            <w:shd w:val="clear" w:color="auto" w:fill="FFFFFF" w:themeFill="background1"/>
            <w:hideMark/>
          </w:tcPr>
          <w:p w14:paraId="1E48024D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8872E3" w:rsidRPr="003C0D0B" w14:paraId="7946866E" w14:textId="77777777" w:rsidTr="001429B9">
        <w:trPr>
          <w:trHeight w:val="975"/>
        </w:trPr>
        <w:tc>
          <w:tcPr>
            <w:tcW w:w="2891" w:type="dxa"/>
            <w:shd w:val="clear" w:color="auto" w:fill="D8E9EE"/>
            <w:vAlign w:val="center"/>
            <w:hideMark/>
          </w:tcPr>
          <w:p w14:paraId="7CDAC778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Audits</w:t>
            </w:r>
          </w:p>
        </w:tc>
        <w:tc>
          <w:tcPr>
            <w:tcW w:w="2290" w:type="dxa"/>
            <w:shd w:val="clear" w:color="auto" w:fill="D8E9EE"/>
            <w:hideMark/>
          </w:tcPr>
          <w:p w14:paraId="70233749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D8E9EE"/>
            <w:hideMark/>
          </w:tcPr>
          <w:p w14:paraId="120CCC8E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D8E9EE"/>
            <w:hideMark/>
          </w:tcPr>
          <w:p w14:paraId="10101FC2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Réaliser des audits de procédures et de résultats </w:t>
            </w:r>
            <w:r w:rsidR="00D234BC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de façons ponctuelles</w:t>
            </w:r>
          </w:p>
        </w:tc>
        <w:tc>
          <w:tcPr>
            <w:tcW w:w="2279" w:type="dxa"/>
            <w:shd w:val="clear" w:color="auto" w:fill="D8E9EE"/>
            <w:hideMark/>
          </w:tcPr>
          <w:p w14:paraId="559F037B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="00FF6E4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Réaliser des audits de procédures et de résultats pour évaluer l’application des mesures de PCI et d’hygiène et salubrité par les travailleurs de la santé à tous les quarts de travail</w:t>
            </w:r>
          </w:p>
        </w:tc>
        <w:tc>
          <w:tcPr>
            <w:tcW w:w="2309" w:type="dxa"/>
            <w:shd w:val="clear" w:color="auto" w:fill="D8E9EE"/>
            <w:hideMark/>
          </w:tcPr>
          <w:p w14:paraId="505573C1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8872E3" w:rsidRPr="003C0D0B" w14:paraId="664B8804" w14:textId="77777777" w:rsidTr="001429B9">
        <w:trPr>
          <w:trHeight w:val="859"/>
        </w:trPr>
        <w:tc>
          <w:tcPr>
            <w:tcW w:w="2891" w:type="dxa"/>
            <w:shd w:val="clear" w:color="auto" w:fill="FFFFFF" w:themeFill="background1"/>
            <w:vAlign w:val="center"/>
            <w:hideMark/>
          </w:tcPr>
          <w:p w14:paraId="21A02991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Activités sociales ou thérapeutiques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1867600B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50DC3A98" w14:textId="77777777" w:rsidR="008872E3" w:rsidRPr="005160EE" w:rsidRDefault="00BD65DE" w:rsidP="00BD65DE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AB085D"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D02226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Interdire la participation de tout usager symptomatique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2BC0C6B1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Suspendre les activités sociales ou de groupe et les soins ou les services offerts par du personnel extérieur à l’unité</w:t>
            </w:r>
          </w:p>
        </w:tc>
        <w:tc>
          <w:tcPr>
            <w:tcW w:w="2279" w:type="dxa"/>
            <w:shd w:val="clear" w:color="auto" w:fill="FFFFFF" w:themeFill="background1"/>
            <w:hideMark/>
          </w:tcPr>
          <w:p w14:paraId="1D93363D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309" w:type="dxa"/>
            <w:shd w:val="clear" w:color="auto" w:fill="FFFFFF" w:themeFill="background1"/>
            <w:hideMark/>
          </w:tcPr>
          <w:p w14:paraId="33949602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</w:tbl>
    <w:p w14:paraId="7AADF19E" w14:textId="77777777" w:rsidR="005160EE" w:rsidRDefault="005160EE"/>
    <w:p w14:paraId="7E1B3760" w14:textId="5BEEBC69" w:rsidR="009E35BE" w:rsidRDefault="009E35B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2297"/>
        <w:gridCol w:w="2297"/>
        <w:gridCol w:w="2297"/>
        <w:gridCol w:w="2286"/>
        <w:gridCol w:w="2316"/>
      </w:tblGrid>
      <w:tr w:rsidR="005160EE" w:rsidRPr="00237A63" w14:paraId="1DAB2176" w14:textId="77777777" w:rsidTr="001429B9">
        <w:trPr>
          <w:trHeight w:val="420"/>
        </w:trPr>
        <w:tc>
          <w:tcPr>
            <w:tcW w:w="2890" w:type="dxa"/>
            <w:vMerge w:val="restart"/>
            <w:shd w:val="clear" w:color="auto" w:fill="1C819A"/>
            <w:vAlign w:val="center"/>
            <w:hideMark/>
          </w:tcPr>
          <w:p w14:paraId="6AA83951" w14:textId="77777777" w:rsidR="005160EE" w:rsidRPr="00237A63" w:rsidRDefault="005160EE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bookmarkStart w:id="1" w:name="_GoBack"/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lastRenderedPageBreak/>
              <w:t>Item</w:t>
            </w:r>
          </w:p>
        </w:tc>
        <w:tc>
          <w:tcPr>
            <w:tcW w:w="2291" w:type="dxa"/>
            <w:vMerge w:val="restart"/>
            <w:shd w:val="clear" w:color="auto" w:fill="1C819A"/>
            <w:hideMark/>
          </w:tcPr>
          <w:p w14:paraId="52ABCAB1" w14:textId="77777777" w:rsidR="005160EE" w:rsidRPr="00237A63" w:rsidRDefault="005160EE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Préparation</w:t>
            </w:r>
          </w:p>
        </w:tc>
        <w:tc>
          <w:tcPr>
            <w:tcW w:w="2290" w:type="dxa"/>
            <w:shd w:val="clear" w:color="auto" w:fill="1C819A"/>
            <w:hideMark/>
          </w:tcPr>
          <w:p w14:paraId="238BC237" w14:textId="77777777" w:rsidR="005160EE" w:rsidRPr="00237A63" w:rsidRDefault="005160EE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Cas sporadiques</w:t>
            </w:r>
          </w:p>
        </w:tc>
        <w:tc>
          <w:tcPr>
            <w:tcW w:w="2290" w:type="dxa"/>
            <w:shd w:val="clear" w:color="auto" w:fill="1C819A"/>
            <w:hideMark/>
          </w:tcPr>
          <w:p w14:paraId="43A6909F" w14:textId="77777777" w:rsidR="005160EE" w:rsidRPr="00237A63" w:rsidRDefault="005160EE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noProof/>
                <w:color w:val="000000"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CFBA97" wp14:editId="0D35E3DD">
                      <wp:simplePos x="0" y="0"/>
                      <wp:positionH relativeFrom="column">
                        <wp:posOffset>-2739390</wp:posOffset>
                      </wp:positionH>
                      <wp:positionV relativeFrom="paragraph">
                        <wp:posOffset>97790</wp:posOffset>
                      </wp:positionV>
                      <wp:extent cx="6981190" cy="295275"/>
                      <wp:effectExtent l="0" t="0" r="0" b="9525"/>
                      <wp:wrapNone/>
                      <wp:docPr id="28" name="Flèche droi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1190" cy="295275"/>
                              </a:xfrm>
                              <a:prstGeom prst="rightArrow">
                                <a:avLst>
                                  <a:gd name="adj1" fmla="val 20370"/>
                                  <a:gd name="adj2" fmla="val 480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20E53" id="Flèche droite 28" o:spid="_x0000_s1026" type="#_x0000_t13" style="position:absolute;margin-left:-215.7pt;margin-top:7.7pt;width:549.7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v9HQIAAB0EAAAOAAAAZHJzL2Uyb0RvYy54bWysU0tu2zAQ3RfoHQjua8lKE9uC5aCI4W6K&#10;JkDaAzD8SCz4w5C17J6o9+jFOqQVx013RbWgSM7wzcx7M+vbgzVkLyFq7zo6n9WUSMe90K7v6Ncv&#10;u3dLSmJiTjDjnezoUUZ6u3n7Zj2GVjZ+8EZIIAjiYjuGjg4phbaqIh+kZXHmg3RoVB4sS3iEvhLA&#10;RkS3pmrq+qYaPYgAnssY8XZ7MtJNwVdK8nSvVJSJmI5ibqmsUNanvFabNWt7YGHQfEqD/UMWlmmH&#10;Qc9QW5YY+Q76LyirOfjoVZpxbyuvlOay1IDVzOtX1TwOLMhSC5ITw5mm+P9g+ef9AxAtOtqgUo5Z&#10;1Ghnfv1E/okAr5MkaECWxhBbdH4MDzCdIm5zyQcFNv+xGHIozB7PzMpDIhwvb1bL+XyFAnC0Navr&#10;ZnGdQauX1wFi+ii9JXnTUdD9kD4A+LHQyvafYir8iilJJr7NKVHWoFx7ZkhTXy2e5bzwaS593i/r&#10;q9UUd0LEDJ4jZ/jojRY7bUw5HOOdAYLoHcWWE5gLMSwmvESSyjeB/fHMODLiKDSLOtfLsKmVYQm3&#10;NiDN0fWUMNPjtPAEpTjnc8TSiTmXLYvDKWiBzSFYa1EJIEbbji7r/E2RjctWWTodKcqcZqVO2uTd&#10;kxdHVBhHNN3joozH5LjRgZLBw4/Xd5DMnT/NCnMcPTqaSqiMhT1YNJvmJTf55bnEfpnqzW8AAAD/&#10;/wMAUEsDBBQABgAIAAAAIQAQCK+03wAAAAoBAAAPAAAAZHJzL2Rvd25yZXYueG1sTI/NTsMwEITv&#10;SLyDtUjcWidQoiaNUyH+RI8NRb26sYkj4nVqu23y9iwnOO2uZjT7Tbkebc/O2ofOoYB0ngDT2DjV&#10;YStg9/E6WwILUaKSvUMtYNIB1tX1VSkL5S641ec6toxCMBRSgIlxKDgPjdFWhrkbNJL25byVkU7f&#10;cuXlhcJtz++SJONWdkgfjBz0k9HNd32yAoZNdnw/vm33rZmec/z09csun4S4vRkfV8CiHuOfGX7x&#10;CR0qYjq4E6rAegGzxX26IC8pDzTJkWVLanegJc2BVyX/X6H6AQAA//8DAFBLAQItABQABgAIAAAA&#10;IQC2gziS/gAAAOEBAAATAAAAAAAAAAAAAAAAAAAAAABbQ29udGVudF9UeXBlc10ueG1sUEsBAi0A&#10;FAAGAAgAAAAhADj9If/WAAAAlAEAAAsAAAAAAAAAAAAAAAAALwEAAF9yZWxzLy5yZWxzUEsBAi0A&#10;FAAGAAgAAAAhAHcym/0dAgAAHQQAAA4AAAAAAAAAAAAAAAAALgIAAGRycy9lMm9Eb2MueG1sUEsB&#10;Ai0AFAAGAAgAAAAhABAIr7TfAAAACgEAAA8AAAAAAAAAAAAAAAAAdwQAAGRycy9kb3ducmV2Lnht&#10;bFBLBQYAAAAABAAEAPMAAACDBQAAAAA=&#10;" adj="21161,8600" fillcolor="window" stroked="f" strokeweight="1pt"/>
                  </w:pict>
                </mc:Fallback>
              </mc:AlternateContent>
            </w: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</w:t>
            </w:r>
          </w:p>
        </w:tc>
        <w:tc>
          <w:tcPr>
            <w:tcW w:w="2279" w:type="dxa"/>
            <w:shd w:val="clear" w:color="auto" w:fill="1C819A"/>
            <w:hideMark/>
          </w:tcPr>
          <w:p w14:paraId="6806F907" w14:textId="77777777" w:rsidR="005160EE" w:rsidRPr="00237A63" w:rsidRDefault="005160EE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Éclosion majeure</w:t>
            </w:r>
          </w:p>
        </w:tc>
        <w:tc>
          <w:tcPr>
            <w:tcW w:w="2309" w:type="dxa"/>
            <w:vMerge w:val="restart"/>
            <w:shd w:val="clear" w:color="auto" w:fill="1C819A"/>
          </w:tcPr>
          <w:p w14:paraId="6E8C7681" w14:textId="77777777" w:rsidR="005160EE" w:rsidRPr="00237A63" w:rsidRDefault="005160EE" w:rsidP="00754848">
            <w:pPr>
              <w:spacing w:before="40"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</w:pPr>
            <w:r w:rsidRPr="003C0D0B">
              <w:rPr>
                <w:rFonts w:ascii="HelveticaNeueLT Std" w:eastAsia="Times New Roman" w:hAnsi="HelveticaNeueLT Std" w:cs="Times New Roman"/>
                <w:b/>
                <w:bCs/>
                <w:color w:val="FFFFFF"/>
                <w:sz w:val="18"/>
                <w:szCs w:val="18"/>
                <w:lang w:eastAsia="fr-CA"/>
              </w:rPr>
              <w:t>Fin d'éclosion</w:t>
            </w:r>
          </w:p>
        </w:tc>
      </w:tr>
      <w:tr w:rsidR="005160EE" w:rsidRPr="00237A63" w14:paraId="77D9DFDE" w14:textId="77777777" w:rsidTr="001429B9">
        <w:trPr>
          <w:trHeight w:val="549"/>
        </w:trPr>
        <w:tc>
          <w:tcPr>
            <w:tcW w:w="2890" w:type="dxa"/>
            <w:vMerge/>
            <w:shd w:val="clear" w:color="auto" w:fill="279CBA"/>
            <w:vAlign w:val="center"/>
            <w:hideMark/>
          </w:tcPr>
          <w:p w14:paraId="492F633D" w14:textId="77777777" w:rsidR="005160EE" w:rsidRPr="00237A63" w:rsidRDefault="005160EE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1" w:type="dxa"/>
            <w:vMerge/>
            <w:shd w:val="clear" w:color="auto" w:fill="279CBA"/>
            <w:noWrap/>
            <w:vAlign w:val="center"/>
            <w:hideMark/>
          </w:tcPr>
          <w:p w14:paraId="39FEFDEB" w14:textId="77777777" w:rsidR="005160EE" w:rsidRPr="00237A63" w:rsidRDefault="005160EE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2290" w:type="dxa"/>
            <w:shd w:val="clear" w:color="auto" w:fill="1C819A"/>
            <w:vAlign w:val="center"/>
            <w:hideMark/>
          </w:tcPr>
          <w:p w14:paraId="065FE349" w14:textId="77777777" w:rsidR="005160EE" w:rsidRPr="00237A63" w:rsidRDefault="005160EE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Mesures à appliquer</w:t>
            </w:r>
          </w:p>
        </w:tc>
        <w:tc>
          <w:tcPr>
            <w:tcW w:w="2290" w:type="dxa"/>
            <w:shd w:val="clear" w:color="auto" w:fill="1C819A"/>
            <w:vAlign w:val="center"/>
            <w:hideMark/>
          </w:tcPr>
          <w:p w14:paraId="279F22DD" w14:textId="77777777" w:rsidR="005160EE" w:rsidRPr="00237A63" w:rsidRDefault="005160EE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279" w:type="dxa"/>
            <w:shd w:val="clear" w:color="auto" w:fill="1C819A"/>
            <w:vAlign w:val="center"/>
            <w:hideMark/>
          </w:tcPr>
          <w:p w14:paraId="1F094CBB" w14:textId="77777777" w:rsidR="005160EE" w:rsidRPr="00237A63" w:rsidRDefault="005160EE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  <w:r w:rsidRPr="00237A63"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  <w:t>En plus des mesures précédemment décrites</w:t>
            </w:r>
          </w:p>
        </w:tc>
        <w:tc>
          <w:tcPr>
            <w:tcW w:w="2309" w:type="dxa"/>
            <w:vMerge/>
            <w:shd w:val="clear" w:color="auto" w:fill="1C819A"/>
          </w:tcPr>
          <w:p w14:paraId="42D1709C" w14:textId="77777777" w:rsidR="005160EE" w:rsidRPr="00237A63" w:rsidRDefault="005160EE" w:rsidP="00754848">
            <w:pPr>
              <w:spacing w:after="0" w:line="240" w:lineRule="auto"/>
              <w:jc w:val="center"/>
              <w:rPr>
                <w:rFonts w:ascii="HelveticaNeueLT Std" w:eastAsia="Times New Roman" w:hAnsi="HelveticaNeueLT Std" w:cs="Times New Roman"/>
                <w:b/>
                <w:bCs/>
                <w:color w:val="FFFFFF" w:themeColor="background1"/>
                <w:sz w:val="18"/>
                <w:szCs w:val="18"/>
                <w:lang w:eastAsia="fr-CA"/>
              </w:rPr>
            </w:pPr>
          </w:p>
        </w:tc>
      </w:tr>
      <w:tr w:rsidR="00AD33D1" w:rsidRPr="003C0D0B" w14:paraId="0E9DC372" w14:textId="77777777" w:rsidTr="001429B9">
        <w:trPr>
          <w:trHeight w:val="414"/>
        </w:trPr>
        <w:tc>
          <w:tcPr>
            <w:tcW w:w="2890" w:type="dxa"/>
            <w:shd w:val="clear" w:color="auto" w:fill="D8E9EE"/>
            <w:vAlign w:val="center"/>
          </w:tcPr>
          <w:p w14:paraId="7C6E479F" w14:textId="77777777" w:rsidR="00AD33D1" w:rsidRPr="005160EE" w:rsidRDefault="00AD33D1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705A49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Bénévoles</w:t>
            </w:r>
          </w:p>
        </w:tc>
        <w:tc>
          <w:tcPr>
            <w:tcW w:w="2291" w:type="dxa"/>
            <w:shd w:val="clear" w:color="auto" w:fill="D8E9EE"/>
          </w:tcPr>
          <w:p w14:paraId="2DBEA842" w14:textId="77777777" w:rsidR="00AD33D1" w:rsidRPr="005160EE" w:rsidRDefault="00AD33D1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0" w:type="dxa"/>
            <w:shd w:val="clear" w:color="auto" w:fill="D8E9EE"/>
          </w:tcPr>
          <w:p w14:paraId="0649AB72" w14:textId="77777777" w:rsidR="00AD33D1" w:rsidRPr="005160EE" w:rsidRDefault="00AD33D1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0" w:type="dxa"/>
            <w:shd w:val="clear" w:color="auto" w:fill="D8E9EE"/>
          </w:tcPr>
          <w:p w14:paraId="5342E21F" w14:textId="77777777" w:rsidR="00AD33D1" w:rsidRPr="005160EE" w:rsidRDefault="00AD33D1" w:rsidP="00754848">
            <w:pPr>
              <w:spacing w:after="0" w:line="240" w:lineRule="auto"/>
              <w:ind w:left="170" w:hanging="17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9" w:type="dxa"/>
            <w:shd w:val="clear" w:color="auto" w:fill="D8E9EE"/>
          </w:tcPr>
          <w:p w14:paraId="47E99175" w14:textId="77777777" w:rsidR="00AD33D1" w:rsidRPr="005160EE" w:rsidRDefault="00AD33D1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Suspendre les servic</w:t>
            </w:r>
            <w:r w:rsidR="00705A49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es offerts sur l’unité affectée</w:t>
            </w:r>
          </w:p>
        </w:tc>
        <w:tc>
          <w:tcPr>
            <w:tcW w:w="2309" w:type="dxa"/>
            <w:shd w:val="clear" w:color="auto" w:fill="D8E9EE"/>
          </w:tcPr>
          <w:p w14:paraId="667E194E" w14:textId="77777777" w:rsidR="00AD33D1" w:rsidRPr="005160EE" w:rsidRDefault="00AD33D1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AD33D1" w:rsidRPr="003C0D0B" w14:paraId="66200DE1" w14:textId="77777777" w:rsidTr="001429B9">
        <w:trPr>
          <w:trHeight w:val="698"/>
        </w:trPr>
        <w:tc>
          <w:tcPr>
            <w:tcW w:w="2890" w:type="dxa"/>
            <w:shd w:val="clear" w:color="auto" w:fill="FFFFFF" w:themeFill="background1"/>
            <w:vAlign w:val="center"/>
            <w:hideMark/>
          </w:tcPr>
          <w:p w14:paraId="555F946D" w14:textId="77777777" w:rsidR="00AD33D1" w:rsidRPr="005160EE" w:rsidRDefault="00AD33D1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proofErr w:type="spellStart"/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DSPu</w:t>
            </w:r>
            <w:proofErr w:type="spellEnd"/>
          </w:p>
        </w:tc>
        <w:tc>
          <w:tcPr>
            <w:tcW w:w="2291" w:type="dxa"/>
            <w:shd w:val="clear" w:color="auto" w:fill="FFFFFF" w:themeFill="background1"/>
            <w:hideMark/>
          </w:tcPr>
          <w:p w14:paraId="4ECDF349" w14:textId="77777777" w:rsidR="00AD33D1" w:rsidRPr="005160EE" w:rsidRDefault="00AD33D1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4DFB219E" w14:textId="77777777" w:rsidR="00AD33D1" w:rsidRPr="005160EE" w:rsidRDefault="00AD33D1" w:rsidP="0075484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36458C08" w14:textId="77777777" w:rsidR="00AD33D1" w:rsidRPr="005160EE" w:rsidRDefault="00AD33D1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Signaler à la </w:t>
            </w:r>
            <w:proofErr w:type="spellStart"/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DSPu</w:t>
            </w:r>
            <w:proofErr w:type="spellEnd"/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toute éclosion </w:t>
            </w:r>
          </w:p>
        </w:tc>
        <w:tc>
          <w:tcPr>
            <w:tcW w:w="2279" w:type="dxa"/>
            <w:shd w:val="clear" w:color="auto" w:fill="FFFFFF" w:themeFill="background1"/>
            <w:hideMark/>
          </w:tcPr>
          <w:p w14:paraId="2519DC62" w14:textId="77777777" w:rsidR="00AD33D1" w:rsidRPr="005160EE" w:rsidRDefault="00AD33D1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 xml:space="preserve">Aviser la </w:t>
            </w:r>
            <w:proofErr w:type="spellStart"/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DSPu</w:t>
            </w:r>
            <w:proofErr w:type="spellEnd"/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de l’éclosion majeure</w:t>
            </w:r>
          </w:p>
        </w:tc>
        <w:tc>
          <w:tcPr>
            <w:tcW w:w="2309" w:type="dxa"/>
            <w:shd w:val="clear" w:color="auto" w:fill="FFFFFF" w:themeFill="background1"/>
            <w:hideMark/>
          </w:tcPr>
          <w:p w14:paraId="6C286E65" w14:textId="77777777" w:rsidR="00AD33D1" w:rsidRPr="005160EE" w:rsidRDefault="00AD33D1" w:rsidP="0075484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Remplir le formulaire « bilan d’éclosion » et l’acheminer par courriel ou télécopie sécurisée</w:t>
            </w:r>
          </w:p>
        </w:tc>
      </w:tr>
      <w:tr w:rsidR="008872E3" w:rsidRPr="003C0D0B" w14:paraId="384E9670" w14:textId="77777777" w:rsidTr="001429B9">
        <w:trPr>
          <w:trHeight w:val="1247"/>
        </w:trPr>
        <w:tc>
          <w:tcPr>
            <w:tcW w:w="2890" w:type="dxa"/>
            <w:shd w:val="clear" w:color="auto" w:fill="D8E9EE"/>
            <w:vAlign w:val="center"/>
            <w:hideMark/>
          </w:tcPr>
          <w:p w14:paraId="76C14DDF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Activités de stage</w:t>
            </w:r>
          </w:p>
        </w:tc>
        <w:tc>
          <w:tcPr>
            <w:tcW w:w="2291" w:type="dxa"/>
            <w:shd w:val="clear" w:color="auto" w:fill="D8E9EE"/>
            <w:hideMark/>
          </w:tcPr>
          <w:p w14:paraId="70D55BBF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D8E9EE"/>
            <w:hideMark/>
          </w:tcPr>
          <w:p w14:paraId="442D926B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D8E9EE"/>
            <w:hideMark/>
          </w:tcPr>
          <w:p w14:paraId="2356D93B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79" w:type="dxa"/>
            <w:shd w:val="clear" w:color="auto" w:fill="D8E9EE"/>
            <w:hideMark/>
          </w:tcPr>
          <w:p w14:paraId="55D8756A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S’assurer que les stagiaires aient l’information et la formation requises pour collaborer au contrôle de la situation ou suspendre les stages</w:t>
            </w:r>
          </w:p>
        </w:tc>
        <w:tc>
          <w:tcPr>
            <w:tcW w:w="2309" w:type="dxa"/>
            <w:shd w:val="clear" w:color="auto" w:fill="D8E9EE"/>
            <w:hideMark/>
          </w:tcPr>
          <w:p w14:paraId="6C1D3A33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8872E3" w:rsidRPr="003C0D0B" w14:paraId="6FF66C88" w14:textId="77777777" w:rsidTr="001429B9">
        <w:trPr>
          <w:trHeight w:val="1757"/>
        </w:trPr>
        <w:tc>
          <w:tcPr>
            <w:tcW w:w="2890" w:type="dxa"/>
            <w:shd w:val="clear" w:color="auto" w:fill="FFFFFF" w:themeFill="background1"/>
            <w:vAlign w:val="center"/>
            <w:hideMark/>
          </w:tcPr>
          <w:p w14:paraId="39EE0D58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Suspension des admissions</w:t>
            </w:r>
          </w:p>
        </w:tc>
        <w:tc>
          <w:tcPr>
            <w:tcW w:w="2291" w:type="dxa"/>
            <w:shd w:val="clear" w:color="auto" w:fill="FFFFFF" w:themeFill="background1"/>
            <w:hideMark/>
          </w:tcPr>
          <w:p w14:paraId="7C82CDD2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411EDDDC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58322267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79" w:type="dxa"/>
            <w:shd w:val="clear" w:color="auto" w:fill="FFFFFF" w:themeFill="background1"/>
            <w:hideMark/>
          </w:tcPr>
          <w:p w14:paraId="165EAF53" w14:textId="77777777" w:rsidR="00A71350" w:rsidRPr="005160EE" w:rsidRDefault="00BD65DE" w:rsidP="00BD65DE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747CA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La dé</w:t>
            </w:r>
            <w:r w:rsidR="00A7135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cision doit être prise par le comité de gestion d’éclosion et autorisée par la direction générale selon les critères mentionnés</w:t>
            </w:r>
          </w:p>
          <w:p w14:paraId="4978B7D4" w14:textId="77777777" w:rsidR="008872E3" w:rsidRPr="005160EE" w:rsidRDefault="00BD65DE" w:rsidP="00BD65DE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747CA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T</w:t>
            </w:r>
            <w:r w:rsidR="00A7135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ransferts </w:t>
            </w:r>
            <w:r w:rsidR="00747CA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possibles </w:t>
            </w:r>
            <w:r w:rsidR="00A7135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lorsque médicalement requis</w:t>
            </w:r>
          </w:p>
        </w:tc>
        <w:tc>
          <w:tcPr>
            <w:tcW w:w="2309" w:type="dxa"/>
            <w:shd w:val="clear" w:color="auto" w:fill="FFFFFF" w:themeFill="background1"/>
            <w:hideMark/>
          </w:tcPr>
          <w:p w14:paraId="37310E17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</w:tr>
      <w:tr w:rsidR="00786F00" w:rsidRPr="003C0D0B" w14:paraId="0E5175EB" w14:textId="77777777" w:rsidTr="001429B9">
        <w:trPr>
          <w:trHeight w:val="718"/>
        </w:trPr>
        <w:tc>
          <w:tcPr>
            <w:tcW w:w="2890" w:type="dxa"/>
            <w:shd w:val="clear" w:color="auto" w:fill="D8E9EE"/>
            <w:vAlign w:val="center"/>
          </w:tcPr>
          <w:p w14:paraId="5BAE97FD" w14:textId="77777777" w:rsidR="00786F00" w:rsidRPr="005160EE" w:rsidRDefault="00786F00" w:rsidP="00EA1ADA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Réouverture de l’unité fermée</w:t>
            </w:r>
          </w:p>
        </w:tc>
        <w:tc>
          <w:tcPr>
            <w:tcW w:w="2291" w:type="dxa"/>
            <w:shd w:val="clear" w:color="auto" w:fill="D8E9EE"/>
          </w:tcPr>
          <w:p w14:paraId="5409A50B" w14:textId="77777777" w:rsidR="00786F00" w:rsidRPr="005160EE" w:rsidRDefault="00786F00" w:rsidP="00EA1ADA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0" w:type="dxa"/>
            <w:shd w:val="clear" w:color="auto" w:fill="D8E9EE"/>
          </w:tcPr>
          <w:p w14:paraId="110D7290" w14:textId="77777777" w:rsidR="00786F00" w:rsidRPr="005160EE" w:rsidRDefault="00786F00" w:rsidP="00EA1ADA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0" w:type="dxa"/>
            <w:shd w:val="clear" w:color="auto" w:fill="D8E9EE"/>
          </w:tcPr>
          <w:p w14:paraId="4BF0B070" w14:textId="77777777" w:rsidR="00786F00" w:rsidRPr="005160EE" w:rsidRDefault="00786F00" w:rsidP="00EA1ADA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79" w:type="dxa"/>
            <w:shd w:val="clear" w:color="auto" w:fill="D8E9EE"/>
          </w:tcPr>
          <w:p w14:paraId="6BADA661" w14:textId="77777777" w:rsidR="00747CA0" w:rsidRPr="005160EE" w:rsidRDefault="00BD65DE" w:rsidP="00BD65DE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786F0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Revoir quotidiennement la possibilité de réouverture de l’unité aux admissions</w:t>
            </w:r>
          </w:p>
          <w:p w14:paraId="7FD4D471" w14:textId="77777777" w:rsidR="00786F00" w:rsidRPr="005160EE" w:rsidRDefault="00BD65DE" w:rsidP="00BD65DE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747CA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A</w:t>
            </w:r>
            <w:r w:rsidR="00FF6E4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dmission</w:t>
            </w:r>
            <w:r w:rsidR="00747CA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possible</w:t>
            </w:r>
            <w:r w:rsidR="00FF6E4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de nouveaux usagers selon les critères mentionnés</w:t>
            </w:r>
          </w:p>
        </w:tc>
        <w:tc>
          <w:tcPr>
            <w:tcW w:w="2309" w:type="dxa"/>
            <w:shd w:val="clear" w:color="auto" w:fill="D8E9EE"/>
          </w:tcPr>
          <w:p w14:paraId="22E6E0F9" w14:textId="77777777" w:rsidR="00786F00" w:rsidRPr="005160EE" w:rsidRDefault="00786F00" w:rsidP="00EA1ADA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8872E3" w:rsidRPr="003C0D0B" w14:paraId="41A63E8E" w14:textId="77777777" w:rsidTr="001429B9">
        <w:trPr>
          <w:trHeight w:val="1020"/>
        </w:trPr>
        <w:tc>
          <w:tcPr>
            <w:tcW w:w="2890" w:type="dxa"/>
            <w:shd w:val="clear" w:color="auto" w:fill="FFFFFF" w:themeFill="background1"/>
            <w:vAlign w:val="center"/>
            <w:hideMark/>
          </w:tcPr>
          <w:p w14:paraId="66257A75" w14:textId="77777777" w:rsidR="008872E3" w:rsidRPr="005160EE" w:rsidRDefault="008872E3" w:rsidP="00BD65DE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Communication</w:t>
            </w:r>
          </w:p>
        </w:tc>
        <w:tc>
          <w:tcPr>
            <w:tcW w:w="2291" w:type="dxa"/>
            <w:shd w:val="clear" w:color="auto" w:fill="FFFFFF" w:themeFill="background1"/>
            <w:vAlign w:val="center"/>
            <w:hideMark/>
          </w:tcPr>
          <w:p w14:paraId="46D7BC49" w14:textId="77777777" w:rsidR="008872E3" w:rsidRPr="005160EE" w:rsidRDefault="008872E3" w:rsidP="00BD65DE">
            <w:pPr>
              <w:rPr>
                <w:rFonts w:ascii="HelveticaNeueLT Std" w:eastAsia="Times New Roman" w:hAnsi="HelveticaNeueLT Std" w:cs="Times New Roman"/>
                <w:sz w:val="17"/>
                <w:szCs w:val="17"/>
                <w:lang w:eastAsia="fr-CA"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  <w:hideMark/>
          </w:tcPr>
          <w:p w14:paraId="5D5F17EE" w14:textId="77777777" w:rsidR="008872E3" w:rsidRPr="005160EE" w:rsidRDefault="008872E3" w:rsidP="00BD65DE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  <w:tc>
          <w:tcPr>
            <w:tcW w:w="2290" w:type="dxa"/>
            <w:shd w:val="clear" w:color="auto" w:fill="FFFFFF" w:themeFill="background1"/>
            <w:hideMark/>
          </w:tcPr>
          <w:p w14:paraId="2425F661" w14:textId="77777777" w:rsidR="008872E3" w:rsidRPr="005160EE" w:rsidRDefault="00BD65DE" w:rsidP="00BD65DE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ab/>
            </w:r>
            <w:r w:rsidR="00AA6907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Informer régulièrement les visiteurs et le personnel concernés sur l’évolution de l’éclosion et les mesures en place</w:t>
            </w:r>
          </w:p>
        </w:tc>
        <w:tc>
          <w:tcPr>
            <w:tcW w:w="2279" w:type="dxa"/>
            <w:shd w:val="clear" w:color="auto" w:fill="FFFFFF" w:themeFill="background1"/>
            <w:hideMark/>
          </w:tcPr>
          <w:p w14:paraId="5F69B6CF" w14:textId="77777777" w:rsidR="008872E3" w:rsidRPr="005160EE" w:rsidRDefault="008872E3" w:rsidP="00BD65DE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747CA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="00BD65DE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Prévoir une communication avec les médias locaux si besoin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14:paraId="75971FA7" w14:textId="77777777" w:rsidR="008872E3" w:rsidRPr="005160EE" w:rsidRDefault="008872E3" w:rsidP="00BD65DE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</w:p>
        </w:tc>
      </w:tr>
      <w:tr w:rsidR="008872E3" w:rsidRPr="005160EE" w14:paraId="56AED632" w14:textId="77777777" w:rsidTr="001429B9">
        <w:trPr>
          <w:trHeight w:val="1236"/>
        </w:trPr>
        <w:tc>
          <w:tcPr>
            <w:tcW w:w="2890" w:type="dxa"/>
            <w:shd w:val="clear" w:color="auto" w:fill="D8E9EE"/>
            <w:vAlign w:val="center"/>
            <w:hideMark/>
          </w:tcPr>
          <w:p w14:paraId="21BAB537" w14:textId="77777777" w:rsidR="008872E3" w:rsidRPr="005160EE" w:rsidRDefault="008872E3" w:rsidP="00A72135">
            <w:pPr>
              <w:spacing w:after="0" w:line="240" w:lineRule="auto"/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b/>
                <w:bCs/>
                <w:color w:val="000000"/>
                <w:sz w:val="17"/>
                <w:szCs w:val="17"/>
                <w:lang w:eastAsia="fr-CA"/>
              </w:rPr>
              <w:t>Suivi et bilan</w:t>
            </w:r>
          </w:p>
        </w:tc>
        <w:tc>
          <w:tcPr>
            <w:tcW w:w="2291" w:type="dxa"/>
            <w:shd w:val="clear" w:color="auto" w:fill="D8E9EE"/>
            <w:hideMark/>
          </w:tcPr>
          <w:p w14:paraId="12C6BA7A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D8E9EE"/>
            <w:hideMark/>
          </w:tcPr>
          <w:p w14:paraId="6CEC9656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90" w:type="dxa"/>
            <w:shd w:val="clear" w:color="auto" w:fill="D8E9EE"/>
            <w:hideMark/>
          </w:tcPr>
          <w:p w14:paraId="4B504E0A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279" w:type="dxa"/>
            <w:shd w:val="clear" w:color="auto" w:fill="D8E9EE"/>
            <w:hideMark/>
          </w:tcPr>
          <w:p w14:paraId="62CEA594" w14:textId="77777777" w:rsidR="008872E3" w:rsidRPr="005160EE" w:rsidRDefault="008872E3" w:rsidP="00622988">
            <w:pPr>
              <w:spacing w:after="0" w:line="240" w:lineRule="auto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 </w:t>
            </w:r>
          </w:p>
        </w:tc>
        <w:tc>
          <w:tcPr>
            <w:tcW w:w="2309" w:type="dxa"/>
            <w:shd w:val="clear" w:color="auto" w:fill="D8E9EE"/>
            <w:hideMark/>
          </w:tcPr>
          <w:p w14:paraId="2CB317B4" w14:textId="77777777" w:rsidR="008872E3" w:rsidRPr="005160EE" w:rsidRDefault="008872E3" w:rsidP="00747CA0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="00747CA0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Effectuer un </w:t>
            </w:r>
            <w:r w:rsidR="00AA6907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retour (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post mortem</w:t>
            </w:r>
            <w:r w:rsidR="00AA6907"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>)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en comité de gestion d’éclosion </w:t>
            </w:r>
          </w:p>
          <w:p w14:paraId="6DA10E4F" w14:textId="77777777" w:rsidR="008872E3" w:rsidRPr="005160EE" w:rsidRDefault="008872E3" w:rsidP="00622988">
            <w:pPr>
              <w:spacing w:after="0" w:line="240" w:lineRule="auto"/>
              <w:ind w:left="170" w:hanging="170"/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</w:pPr>
            <w:r w:rsidRPr="005160EE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CA"/>
              </w:rPr>
              <w:t>□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 xml:space="preserve"> </w:t>
            </w:r>
            <w:r w:rsidRPr="005160EE">
              <w:rPr>
                <w:rFonts w:ascii="HelveticaNeueLT Std" w:eastAsia="Times New Roman" w:hAnsi="HelveticaNeueLT Std" w:cs="Times New Roman"/>
                <w:color w:val="000000"/>
                <w:sz w:val="17"/>
                <w:szCs w:val="17"/>
                <w:lang w:eastAsia="fr-CA"/>
              </w:rPr>
              <w:tab/>
              <w:t>Élaborer un rapport de l’éclosion et le diffuser aux personnes identifiées</w:t>
            </w:r>
          </w:p>
        </w:tc>
      </w:tr>
    </w:tbl>
    <w:bookmarkEnd w:id="1"/>
    <w:p w14:paraId="0C5C32C7" w14:textId="0681092E" w:rsidR="002C1F7B" w:rsidRDefault="0010121A" w:rsidP="00566211">
      <w:pPr>
        <w:rPr>
          <w:rFonts w:ascii="HelveticaNeueLT Std" w:hAnsi="HelveticaNeueLT Std"/>
          <w:sz w:val="17"/>
          <w:szCs w:val="17"/>
        </w:rPr>
      </w:pPr>
      <w:r>
        <w:rPr>
          <w:rFonts w:ascii="HelveticaNeueLT Std" w:hAnsi="HelveticaNeueLT Std"/>
          <w:sz w:val="17"/>
          <w:szCs w:val="17"/>
        </w:rPr>
        <w:t xml:space="preserve"> </w:t>
      </w:r>
    </w:p>
    <w:sectPr w:rsidR="002C1F7B" w:rsidSect="00F207E5">
      <w:headerReference w:type="even" r:id="rId17"/>
      <w:headerReference w:type="default" r:id="rId18"/>
      <w:pgSz w:w="15840" w:h="12240" w:orient="landscape" w:code="1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35440" w14:textId="77777777" w:rsidR="00636825" w:rsidRDefault="00636825" w:rsidP="00636825">
      <w:pPr>
        <w:spacing w:after="0" w:line="240" w:lineRule="auto"/>
      </w:pPr>
      <w:r>
        <w:separator/>
      </w:r>
    </w:p>
  </w:endnote>
  <w:endnote w:type="continuationSeparator" w:id="0">
    <w:p w14:paraId="79D86A54" w14:textId="77777777" w:rsidR="00636825" w:rsidRDefault="00636825" w:rsidP="0063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AC0CF" w14:textId="5F778741" w:rsidR="00F207E5" w:rsidRPr="00F207E5" w:rsidRDefault="00F207E5" w:rsidP="00F207E5">
    <w:pPr>
      <w:pStyle w:val="Pieddepage"/>
      <w:tabs>
        <w:tab w:val="clear" w:pos="4703"/>
        <w:tab w:val="clear" w:pos="9406"/>
        <w:tab w:val="right" w:pos="14317"/>
      </w:tabs>
      <w:rPr>
        <w:rFonts w:ascii="HelveticaNeueLT Std" w:hAnsi="HelveticaNeueLT Std"/>
        <w:sz w:val="16"/>
      </w:rPr>
    </w:pPr>
    <w:r w:rsidRPr="00F207E5">
      <w:rPr>
        <w:rFonts w:ascii="HelveticaNeueLT Std" w:hAnsi="HelveticaNeueLT Std"/>
        <w:sz w:val="16"/>
      </w:rPr>
      <w:fldChar w:fldCharType="begin"/>
    </w:r>
    <w:r w:rsidRPr="00F207E5">
      <w:rPr>
        <w:rFonts w:ascii="HelveticaNeueLT Std" w:hAnsi="HelveticaNeueLT Std"/>
        <w:sz w:val="16"/>
      </w:rPr>
      <w:instrText>PAGE   \* MERGEFORMAT</w:instrText>
    </w:r>
    <w:r w:rsidRPr="00F207E5">
      <w:rPr>
        <w:rFonts w:ascii="HelveticaNeueLT Std" w:hAnsi="HelveticaNeueLT Std"/>
        <w:sz w:val="16"/>
      </w:rPr>
      <w:fldChar w:fldCharType="separate"/>
    </w:r>
    <w:r w:rsidR="00B47C13" w:rsidRPr="00B47C13">
      <w:rPr>
        <w:rFonts w:ascii="HelveticaNeueLT Std" w:hAnsi="HelveticaNeueLT Std"/>
        <w:noProof/>
        <w:sz w:val="16"/>
        <w:lang w:val="fr-FR"/>
      </w:rPr>
      <w:t>8</w:t>
    </w:r>
    <w:r w:rsidRPr="00F207E5">
      <w:rPr>
        <w:rFonts w:ascii="HelveticaNeueLT Std" w:hAnsi="HelveticaNeueLT Std"/>
        <w:sz w:val="16"/>
      </w:rPr>
      <w:fldChar w:fldCharType="end"/>
    </w:r>
    <w:r>
      <w:rPr>
        <w:rFonts w:ascii="HelveticaNeueLT Std" w:hAnsi="HelveticaNeueLT Std"/>
        <w:sz w:val="16"/>
      </w:rPr>
      <w:tab/>
    </w:r>
    <w:r w:rsidRPr="00A72135">
      <w:rPr>
        <w:rFonts w:ascii="HelveticaNeueLT Std" w:hAnsi="HelveticaNeueLT Std"/>
        <w:sz w:val="16"/>
        <w:szCs w:val="16"/>
      </w:rPr>
      <w:t>Institut national de santé publique du Québec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2478" w14:textId="1A29DDD5" w:rsidR="00F0134D" w:rsidRPr="00BF611E" w:rsidRDefault="00F0134D" w:rsidP="00F0134D">
    <w:pPr>
      <w:pStyle w:val="Pieddepage"/>
      <w:tabs>
        <w:tab w:val="clear" w:pos="4703"/>
        <w:tab w:val="clear" w:pos="9406"/>
        <w:tab w:val="right" w:pos="14317"/>
      </w:tabs>
      <w:rPr>
        <w:rFonts w:ascii="HelveticaNeueLT Std" w:hAnsi="HelveticaNeueLT Std"/>
        <w:sz w:val="16"/>
      </w:rPr>
    </w:pPr>
    <w:r w:rsidRPr="00A72135">
      <w:rPr>
        <w:rFonts w:ascii="HelveticaNeueLT Std" w:hAnsi="HelveticaNeueLT Std"/>
        <w:sz w:val="16"/>
        <w:szCs w:val="16"/>
      </w:rPr>
      <w:t xml:space="preserve">Institut national de santé publique du Québec </w:t>
    </w:r>
    <w:r w:rsidRPr="00A72135">
      <w:rPr>
        <w:rFonts w:ascii="HelveticaNeueLT Std" w:hAnsi="HelveticaNeueLT Std"/>
        <w:sz w:val="16"/>
        <w:szCs w:val="16"/>
      </w:rPr>
      <w:tab/>
    </w:r>
    <w:r w:rsidRPr="00A72135">
      <w:rPr>
        <w:rFonts w:ascii="HelveticaNeueLT Std" w:hAnsi="HelveticaNeueLT Std"/>
        <w:sz w:val="16"/>
        <w:szCs w:val="16"/>
      </w:rPr>
      <w:fldChar w:fldCharType="begin"/>
    </w:r>
    <w:r w:rsidRPr="00A72135">
      <w:rPr>
        <w:rFonts w:ascii="HelveticaNeueLT Std" w:hAnsi="HelveticaNeueLT Std"/>
        <w:sz w:val="16"/>
        <w:szCs w:val="16"/>
      </w:rPr>
      <w:instrText>PAGE   \* MERGEFORMAT</w:instrText>
    </w:r>
    <w:r w:rsidRPr="00A72135">
      <w:rPr>
        <w:rFonts w:ascii="HelveticaNeueLT Std" w:hAnsi="HelveticaNeueLT Std"/>
        <w:sz w:val="16"/>
        <w:szCs w:val="16"/>
      </w:rPr>
      <w:fldChar w:fldCharType="separate"/>
    </w:r>
    <w:r w:rsidR="001429B9" w:rsidRPr="001429B9">
      <w:rPr>
        <w:rFonts w:ascii="HelveticaNeueLT Std" w:hAnsi="HelveticaNeueLT Std"/>
        <w:noProof/>
        <w:sz w:val="16"/>
        <w:szCs w:val="16"/>
        <w:lang w:val="fr-FR"/>
      </w:rPr>
      <w:t>8</w:t>
    </w:r>
    <w:r w:rsidRPr="00A72135">
      <w:rPr>
        <w:rFonts w:ascii="HelveticaNeueLT Std" w:hAnsi="HelveticaNeueLT Std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4BEBC" w14:textId="77777777" w:rsidR="00B47C13" w:rsidRDefault="00B47C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7AAE3" w14:textId="77777777" w:rsidR="00636825" w:rsidRDefault="00636825" w:rsidP="00636825">
      <w:pPr>
        <w:spacing w:after="0" w:line="240" w:lineRule="auto"/>
      </w:pPr>
      <w:r>
        <w:separator/>
      </w:r>
    </w:p>
  </w:footnote>
  <w:footnote w:type="continuationSeparator" w:id="0">
    <w:p w14:paraId="7CADBB06" w14:textId="77777777" w:rsidR="00636825" w:rsidRDefault="00636825" w:rsidP="0063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6B776" w14:textId="39815B96" w:rsidR="00F207E5" w:rsidRDefault="00F207E5" w:rsidP="00F207E5">
    <w:pPr>
      <w:pStyle w:val="En-tte"/>
      <w:tabs>
        <w:tab w:val="clear" w:pos="9406"/>
        <w:tab w:val="right" w:pos="14317"/>
      </w:tabs>
    </w:pPr>
    <w:r w:rsidRPr="00A72135">
      <w:rPr>
        <w:rFonts w:ascii="HelveticaNeueLT Std" w:hAnsi="HelveticaNeueLT Std"/>
        <w:sz w:val="16"/>
        <w:szCs w:val="16"/>
      </w:rPr>
      <w:t>Mesures de prévention et de contrôle</w:t>
    </w:r>
    <w:r>
      <w:rPr>
        <w:rFonts w:ascii="HelveticaNeueLT Std" w:hAnsi="HelveticaNeueLT Std"/>
        <w:sz w:val="16"/>
        <w:szCs w:val="16"/>
      </w:rPr>
      <w:t xml:space="preserve"> des virus respiratoires, incluant l’influenza, dans les milieux de soins : aide-mémoire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02C9" w14:textId="41043B3C" w:rsidR="002C1F7B" w:rsidRPr="00BF611E" w:rsidRDefault="002C1F7B" w:rsidP="002C1F7B">
    <w:pPr>
      <w:pStyle w:val="En-tte"/>
      <w:tabs>
        <w:tab w:val="left" w:pos="12900"/>
      </w:tabs>
      <w:jc w:val="right"/>
      <w:rPr>
        <w:rFonts w:ascii="HelveticaNeueLT Std" w:hAnsi="HelveticaNeueLT Std"/>
        <w:sz w:val="16"/>
        <w:szCs w:val="16"/>
      </w:rPr>
    </w:pPr>
    <w:r w:rsidRPr="00A72135">
      <w:rPr>
        <w:rFonts w:ascii="HelveticaNeueLT Std" w:hAnsi="HelveticaNeueLT Std"/>
        <w:sz w:val="16"/>
        <w:szCs w:val="16"/>
      </w:rPr>
      <w:t>Mesures de prévention et de contrôle</w:t>
    </w:r>
    <w:r>
      <w:rPr>
        <w:rFonts w:ascii="HelveticaNeueLT Std" w:hAnsi="HelveticaNeueLT Std"/>
        <w:sz w:val="16"/>
        <w:szCs w:val="16"/>
      </w:rPr>
      <w:t xml:space="preserve"> des virus respiratoires, incluant l’influenza, dans les milieux de soins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E96E" w14:textId="77777777" w:rsidR="00B47C13" w:rsidRDefault="00B47C1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FC5D8" w14:textId="77777777" w:rsidR="00B47C13" w:rsidRDefault="00B47C13" w:rsidP="00F207E5">
    <w:pPr>
      <w:pStyle w:val="En-tte"/>
      <w:tabs>
        <w:tab w:val="clear" w:pos="9406"/>
        <w:tab w:val="right" w:pos="14317"/>
      </w:tabs>
    </w:pPr>
    <w:r w:rsidRPr="00A72135">
      <w:rPr>
        <w:rFonts w:ascii="HelveticaNeueLT Std" w:hAnsi="HelveticaNeueLT Std"/>
        <w:sz w:val="16"/>
        <w:szCs w:val="16"/>
      </w:rPr>
      <w:t>Mesures de prévention et de contrôle</w:t>
    </w:r>
    <w:r>
      <w:rPr>
        <w:rFonts w:ascii="HelveticaNeueLT Std" w:hAnsi="HelveticaNeueLT Std"/>
        <w:sz w:val="16"/>
        <w:szCs w:val="16"/>
      </w:rPr>
      <w:t xml:space="preserve"> des virus respiratoires, incluant l’influenza, dans les milieux de soins : aide-mémoire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9F2BB" w14:textId="1B11C368" w:rsidR="00B47C13" w:rsidRPr="00BF611E" w:rsidRDefault="00B47C13" w:rsidP="002C1F7B">
    <w:pPr>
      <w:pStyle w:val="En-tte"/>
      <w:tabs>
        <w:tab w:val="left" w:pos="12900"/>
      </w:tabs>
      <w:jc w:val="right"/>
      <w:rPr>
        <w:rFonts w:ascii="HelveticaNeueLT Std" w:hAnsi="HelveticaNeueLT Std"/>
        <w:sz w:val="16"/>
        <w:szCs w:val="16"/>
      </w:rPr>
    </w:pPr>
    <w:r w:rsidRPr="00A72135">
      <w:rPr>
        <w:rFonts w:ascii="HelveticaNeueLT Std" w:hAnsi="HelveticaNeueLT Std"/>
        <w:sz w:val="16"/>
        <w:szCs w:val="16"/>
      </w:rPr>
      <w:t>Mesures de prévention et de contrôle</w:t>
    </w:r>
    <w:r>
      <w:rPr>
        <w:rFonts w:ascii="HelveticaNeueLT Std" w:hAnsi="HelveticaNeueLT Std"/>
        <w:sz w:val="16"/>
        <w:szCs w:val="16"/>
      </w:rPr>
      <w:t xml:space="preserve"> des virus respiratoires, incluant l’influenza, dans les milieux de soins : aide-mémoire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72C"/>
    <w:multiLevelType w:val="hybridMultilevel"/>
    <w:tmpl w:val="D11A7A1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C267C"/>
    <w:multiLevelType w:val="hybridMultilevel"/>
    <w:tmpl w:val="65F61D4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40A68"/>
    <w:multiLevelType w:val="hybridMultilevel"/>
    <w:tmpl w:val="EB0827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C2E90"/>
    <w:multiLevelType w:val="hybridMultilevel"/>
    <w:tmpl w:val="19E018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83D1E"/>
    <w:multiLevelType w:val="hybridMultilevel"/>
    <w:tmpl w:val="67A0EBC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674AA"/>
    <w:multiLevelType w:val="hybridMultilevel"/>
    <w:tmpl w:val="C9900CB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243E89"/>
    <w:multiLevelType w:val="hybridMultilevel"/>
    <w:tmpl w:val="25F4738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451C4"/>
    <w:multiLevelType w:val="hybridMultilevel"/>
    <w:tmpl w:val="35E4F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B5796"/>
    <w:multiLevelType w:val="hybridMultilevel"/>
    <w:tmpl w:val="76783F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F661D"/>
    <w:multiLevelType w:val="hybridMultilevel"/>
    <w:tmpl w:val="48EA87A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DC6B62"/>
    <w:multiLevelType w:val="hybridMultilevel"/>
    <w:tmpl w:val="F3D61D5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36675"/>
    <w:multiLevelType w:val="hybridMultilevel"/>
    <w:tmpl w:val="4D3433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F147D"/>
    <w:multiLevelType w:val="hybridMultilevel"/>
    <w:tmpl w:val="49EC72F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913350"/>
    <w:multiLevelType w:val="hybridMultilevel"/>
    <w:tmpl w:val="89A024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3B7F75"/>
    <w:multiLevelType w:val="hybridMultilevel"/>
    <w:tmpl w:val="AA1C63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931E90"/>
    <w:multiLevelType w:val="hybridMultilevel"/>
    <w:tmpl w:val="1CBCC35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8C5DF7"/>
    <w:multiLevelType w:val="hybridMultilevel"/>
    <w:tmpl w:val="16A4D5A2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A43E99"/>
    <w:multiLevelType w:val="hybridMultilevel"/>
    <w:tmpl w:val="53EC1B24"/>
    <w:lvl w:ilvl="0" w:tplc="550ACEC0">
      <w:start w:val="1"/>
      <w:numFmt w:val="bullet"/>
      <w:pStyle w:val="Puce1"/>
      <w:lvlText w:val=""/>
      <w:lvlJc w:val="left"/>
      <w:pPr>
        <w:ind w:left="1288" w:hanging="360"/>
      </w:pPr>
      <w:rPr>
        <w:rFonts w:ascii="Wingdings" w:hAnsi="Wingdings" w:hint="default"/>
        <w:color w:val="EF7516"/>
        <w:sz w:val="22"/>
        <w:u w:color="70AD47" w:themeColor="accent6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7"/>
  </w:num>
  <w:num w:numId="5">
    <w:abstractNumId w:val="17"/>
  </w:num>
  <w:num w:numId="6">
    <w:abstractNumId w:val="5"/>
  </w:num>
  <w:num w:numId="7">
    <w:abstractNumId w:val="13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4"/>
  </w:num>
  <w:num w:numId="13">
    <w:abstractNumId w:val="8"/>
  </w:num>
  <w:num w:numId="14">
    <w:abstractNumId w:val="2"/>
  </w:num>
  <w:num w:numId="15">
    <w:abstractNumId w:val="9"/>
  </w:num>
  <w:num w:numId="16">
    <w:abstractNumId w:val="11"/>
  </w:num>
  <w:num w:numId="17">
    <w:abstractNumId w:val="14"/>
  </w:num>
  <w:num w:numId="18">
    <w:abstractNumId w:val="6"/>
  </w:num>
  <w:num w:numId="19">
    <w:abstractNumId w:val="15"/>
  </w:num>
  <w:num w:numId="20">
    <w:abstractNumId w:val="1"/>
  </w:num>
  <w:num w:numId="21">
    <w:abstractNumId w:val="0"/>
  </w:num>
  <w:num w:numId="22">
    <w:abstractNumId w:val="7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F"/>
    <w:rsid w:val="00037C95"/>
    <w:rsid w:val="0004563C"/>
    <w:rsid w:val="00050A1E"/>
    <w:rsid w:val="0010121A"/>
    <w:rsid w:val="001429B9"/>
    <w:rsid w:val="00164967"/>
    <w:rsid w:val="001719F6"/>
    <w:rsid w:val="001E2B15"/>
    <w:rsid w:val="001E3DCD"/>
    <w:rsid w:val="00211294"/>
    <w:rsid w:val="00221350"/>
    <w:rsid w:val="00237A63"/>
    <w:rsid w:val="00253F0D"/>
    <w:rsid w:val="002908DE"/>
    <w:rsid w:val="00291849"/>
    <w:rsid w:val="002C1F7B"/>
    <w:rsid w:val="002D05F0"/>
    <w:rsid w:val="00314A58"/>
    <w:rsid w:val="00320B20"/>
    <w:rsid w:val="0032428E"/>
    <w:rsid w:val="003274BC"/>
    <w:rsid w:val="003420E8"/>
    <w:rsid w:val="00372E65"/>
    <w:rsid w:val="0038500F"/>
    <w:rsid w:val="00397C0D"/>
    <w:rsid w:val="003C0D0B"/>
    <w:rsid w:val="003C17E4"/>
    <w:rsid w:val="003E4D92"/>
    <w:rsid w:val="0040299C"/>
    <w:rsid w:val="00403DA4"/>
    <w:rsid w:val="004105D1"/>
    <w:rsid w:val="00437D50"/>
    <w:rsid w:val="004423BC"/>
    <w:rsid w:val="00444EE2"/>
    <w:rsid w:val="00477B10"/>
    <w:rsid w:val="004D4F83"/>
    <w:rsid w:val="004E4E31"/>
    <w:rsid w:val="0050509B"/>
    <w:rsid w:val="00515AB2"/>
    <w:rsid w:val="005160EE"/>
    <w:rsid w:val="00516367"/>
    <w:rsid w:val="005528C5"/>
    <w:rsid w:val="00566211"/>
    <w:rsid w:val="005732E6"/>
    <w:rsid w:val="005A1334"/>
    <w:rsid w:val="005F3F9E"/>
    <w:rsid w:val="005F5B46"/>
    <w:rsid w:val="00632257"/>
    <w:rsid w:val="00636825"/>
    <w:rsid w:val="00673CF0"/>
    <w:rsid w:val="00675626"/>
    <w:rsid w:val="006C2B26"/>
    <w:rsid w:val="006C507E"/>
    <w:rsid w:val="00703F80"/>
    <w:rsid w:val="00705A49"/>
    <w:rsid w:val="0074177E"/>
    <w:rsid w:val="00747CA0"/>
    <w:rsid w:val="007510EB"/>
    <w:rsid w:val="0075792D"/>
    <w:rsid w:val="007603A6"/>
    <w:rsid w:val="00770DC4"/>
    <w:rsid w:val="00774D51"/>
    <w:rsid w:val="00786F00"/>
    <w:rsid w:val="007A7478"/>
    <w:rsid w:val="007D71FC"/>
    <w:rsid w:val="007E05F9"/>
    <w:rsid w:val="00854EAF"/>
    <w:rsid w:val="00861533"/>
    <w:rsid w:val="00875718"/>
    <w:rsid w:val="008872E3"/>
    <w:rsid w:val="00892594"/>
    <w:rsid w:val="00892C4D"/>
    <w:rsid w:val="008B357F"/>
    <w:rsid w:val="008B778C"/>
    <w:rsid w:val="008D5F15"/>
    <w:rsid w:val="00904B75"/>
    <w:rsid w:val="00911888"/>
    <w:rsid w:val="0095461B"/>
    <w:rsid w:val="00971D86"/>
    <w:rsid w:val="00971E7D"/>
    <w:rsid w:val="009C2C4C"/>
    <w:rsid w:val="009D2078"/>
    <w:rsid w:val="009E35BE"/>
    <w:rsid w:val="00A17537"/>
    <w:rsid w:val="00A243C8"/>
    <w:rsid w:val="00A317F4"/>
    <w:rsid w:val="00A62A2E"/>
    <w:rsid w:val="00A71350"/>
    <w:rsid w:val="00A72135"/>
    <w:rsid w:val="00A85860"/>
    <w:rsid w:val="00AA6907"/>
    <w:rsid w:val="00AB085D"/>
    <w:rsid w:val="00AD33D1"/>
    <w:rsid w:val="00AF5022"/>
    <w:rsid w:val="00B47C13"/>
    <w:rsid w:val="00B926AA"/>
    <w:rsid w:val="00BB2239"/>
    <w:rsid w:val="00BD65DE"/>
    <w:rsid w:val="00BF611E"/>
    <w:rsid w:val="00C167F6"/>
    <w:rsid w:val="00C624B1"/>
    <w:rsid w:val="00C964EF"/>
    <w:rsid w:val="00CA44C2"/>
    <w:rsid w:val="00CC6A6D"/>
    <w:rsid w:val="00D02226"/>
    <w:rsid w:val="00D03F55"/>
    <w:rsid w:val="00D234BC"/>
    <w:rsid w:val="00D3223E"/>
    <w:rsid w:val="00D41D2D"/>
    <w:rsid w:val="00D50F61"/>
    <w:rsid w:val="00D70C3D"/>
    <w:rsid w:val="00DD3662"/>
    <w:rsid w:val="00DD62BE"/>
    <w:rsid w:val="00DE790F"/>
    <w:rsid w:val="00E35711"/>
    <w:rsid w:val="00E56A28"/>
    <w:rsid w:val="00E847B7"/>
    <w:rsid w:val="00F0134D"/>
    <w:rsid w:val="00F13427"/>
    <w:rsid w:val="00F207E5"/>
    <w:rsid w:val="00F35763"/>
    <w:rsid w:val="00F35F9D"/>
    <w:rsid w:val="00F52999"/>
    <w:rsid w:val="00F634A1"/>
    <w:rsid w:val="00F94DCA"/>
    <w:rsid w:val="00FB4F49"/>
    <w:rsid w:val="00FC130D"/>
    <w:rsid w:val="00FF28B3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695139"/>
  <w15:chartTrackingRefBased/>
  <w15:docId w15:val="{6E7323D5-6981-4CC2-8A10-38BE00DD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A63"/>
  </w:style>
  <w:style w:type="paragraph" w:styleId="Titre1">
    <w:name w:val="heading 1"/>
    <w:basedOn w:val="Normal"/>
    <w:next w:val="Normal"/>
    <w:link w:val="Titre1Car"/>
    <w:uiPriority w:val="9"/>
    <w:rsid w:val="004E4E31"/>
    <w:pPr>
      <w:keepNext/>
      <w:keepLines/>
      <w:spacing w:after="240" w:line="240" w:lineRule="auto"/>
      <w:outlineLvl w:val="0"/>
    </w:pPr>
    <w:rPr>
      <w:rFonts w:ascii="Raleway" w:eastAsiaTheme="majorEastAsia" w:hAnsi="Raleway" w:cstheme="majorBidi"/>
      <w:b/>
      <w:bCs/>
      <w:color w:val="EF7516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4E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6368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36825"/>
  </w:style>
  <w:style w:type="paragraph" w:styleId="Pieddepage">
    <w:name w:val="footer"/>
    <w:basedOn w:val="Normal"/>
    <w:link w:val="PieddepageCar"/>
    <w:uiPriority w:val="99"/>
    <w:unhideWhenUsed/>
    <w:rsid w:val="006368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825"/>
  </w:style>
  <w:style w:type="character" w:styleId="Textedelespacerserv">
    <w:name w:val="Placeholder Text"/>
    <w:basedOn w:val="Policepardfaut"/>
    <w:uiPriority w:val="99"/>
    <w:semiHidden/>
    <w:rsid w:val="003C17E4"/>
    <w:rPr>
      <w:color w:val="808080"/>
    </w:rPr>
  </w:style>
  <w:style w:type="paragraph" w:styleId="Paragraphedeliste">
    <w:name w:val="List Paragraph"/>
    <w:basedOn w:val="Normal"/>
    <w:uiPriority w:val="34"/>
    <w:qFormat/>
    <w:rsid w:val="000456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2D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eurs">
    <w:name w:val="Auteurs"/>
    <w:basedOn w:val="Normal"/>
    <w:rsid w:val="002D05F0"/>
    <w:pPr>
      <w:spacing w:after="60" w:line="240" w:lineRule="auto"/>
    </w:pPr>
    <w:rPr>
      <w:rFonts w:ascii="HelveticaNeueLT Std" w:hAnsi="HelveticaNeueLT Std"/>
      <w:sz w:val="18"/>
      <w:szCs w:val="16"/>
      <w:lang w:val="fr-FR"/>
    </w:rPr>
  </w:style>
  <w:style w:type="paragraph" w:customStyle="1" w:styleId="Puce1">
    <w:name w:val="Puce 1"/>
    <w:basedOn w:val="Corpsdetexte"/>
    <w:qFormat/>
    <w:rsid w:val="00FC130D"/>
    <w:pPr>
      <w:numPr>
        <w:numId w:val="3"/>
      </w:numPr>
      <w:spacing w:line="264" w:lineRule="auto"/>
    </w:pPr>
    <w:rPr>
      <w:rFonts w:ascii="HelveticaNeueLT Std" w:hAnsi="HelveticaNeueLT Std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C130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130D"/>
  </w:style>
  <w:style w:type="character" w:customStyle="1" w:styleId="Titre1Car">
    <w:name w:val="Titre 1 Car"/>
    <w:basedOn w:val="Policepardfaut"/>
    <w:link w:val="Titre1"/>
    <w:uiPriority w:val="9"/>
    <w:rsid w:val="004E4E31"/>
    <w:rPr>
      <w:rFonts w:ascii="Raleway" w:eastAsiaTheme="majorEastAsia" w:hAnsi="Raleway" w:cstheme="majorBidi"/>
      <w:b/>
      <w:bCs/>
      <w:color w:val="EF7516"/>
      <w:sz w:val="32"/>
      <w:szCs w:val="28"/>
    </w:rPr>
  </w:style>
  <w:style w:type="paragraph" w:customStyle="1" w:styleId="En-ttepageimpaire">
    <w:name w:val="En-tête page impaire"/>
    <w:basedOn w:val="En-tte"/>
    <w:qFormat/>
    <w:rsid w:val="004E4E31"/>
    <w:pPr>
      <w:tabs>
        <w:tab w:val="clear" w:pos="4703"/>
        <w:tab w:val="clear" w:pos="9406"/>
      </w:tabs>
      <w:spacing w:after="360"/>
      <w:ind w:right="-198"/>
      <w:jc w:val="right"/>
    </w:pPr>
    <w:rPr>
      <w:rFonts w:ascii="HelveticaNeueLT Std" w:hAnsi="HelveticaNeueLT Std"/>
      <w:b/>
      <w:color w:val="FFFFFF" w:themeColor="background1"/>
      <w:sz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546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6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6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6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6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B6AD-9964-4867-8169-706DB5F7C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0632-F8E7-46F2-8DA9-AF8E73ACEA61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C22835A-057F-4EAC-8693-664C62578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BB0DCB-C4BD-4F55-879C-300A3089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1916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MESURES DE PRÉVENTION ET DE CONTRÔLE DES GASTROENTÉRITES D’ALLURE VIRALE DANS LES ÉTABLISSEMENTS DE SOINS (aide-mémoire)</vt:lpstr>
    </vt:vector>
  </TitlesOfParts>
  <Company>INSPQ</Company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MESURES DE PRÉVENTION ET DE CONTRÔLE DES GASTROENTÉRITES D’ALLURE VIRALE DANS LES ÉTABLISSEMENTS DE SOINS (aide-mémoire)</dc:title>
  <dc:subject/>
  <dc:creator>2017-05-12</dc:creator>
  <cp:keywords/>
  <dc:description/>
  <cp:lastModifiedBy>Isabelle Gignac</cp:lastModifiedBy>
  <cp:revision>11</cp:revision>
  <cp:lastPrinted>2018-11-23T16:58:00Z</cp:lastPrinted>
  <dcterms:created xsi:type="dcterms:W3CDTF">2018-11-20T15:25:00Z</dcterms:created>
  <dcterms:modified xsi:type="dcterms:W3CDTF">2018-12-03T15:07:00Z</dcterms:modified>
</cp:coreProperties>
</file>