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A2" w:rsidRPr="008E06C1" w:rsidRDefault="00BA36C1" w:rsidP="00054BA2">
      <w:pPr>
        <w:pStyle w:val="Titre1"/>
      </w:pPr>
      <w:r w:rsidRPr="008E06C1">
        <w:t>Ordonnance collective : Initier une prophylaxie contre la grippe causée par le virus de l’influenza lors d’une éclosion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12"/>
        <w:gridCol w:w="1130"/>
        <w:gridCol w:w="1458"/>
        <w:gridCol w:w="5400"/>
      </w:tblGrid>
      <w:tr w:rsidR="008C5442" w:rsidRPr="0067714A" w:rsidTr="00406A65">
        <w:trPr>
          <w:trHeight w:val="432"/>
        </w:trPr>
        <w:tc>
          <w:tcPr>
            <w:tcW w:w="2500" w:type="pct"/>
            <w:gridSpan w:val="3"/>
            <w:tcBorders>
              <w:top w:val="nil"/>
              <w:left w:val="nil"/>
              <w:right w:val="nil"/>
            </w:tcBorders>
            <w:shd w:val="clear" w:color="000000" w:fill="auto"/>
            <w:vAlign w:val="center"/>
          </w:tcPr>
          <w:p w:rsidR="008C5442" w:rsidRPr="0067714A" w:rsidRDefault="008C5442" w:rsidP="00406A65">
            <w:pPr>
              <w:keepNext/>
              <w:outlineLvl w:val="1"/>
              <w:rPr>
                <w:b/>
                <w:bCs/>
                <w:iCs/>
                <w:color w:val="000000"/>
                <w:szCs w:val="18"/>
              </w:rPr>
            </w:pPr>
            <w:r w:rsidRPr="0067714A">
              <w:rPr>
                <w:b/>
                <w:szCs w:val="18"/>
              </w:rPr>
              <w:t>Identification de l’établissement</w:t>
            </w:r>
          </w:p>
        </w:tc>
        <w:tc>
          <w:tcPr>
            <w:tcW w:w="2500" w:type="pct"/>
            <w:tcBorders>
              <w:top w:val="nil"/>
              <w:left w:val="nil"/>
              <w:right w:val="nil"/>
            </w:tcBorders>
            <w:shd w:val="clear" w:color="000000" w:fill="auto"/>
            <w:vAlign w:val="center"/>
          </w:tcPr>
          <w:p w:rsidR="008C5442" w:rsidRPr="0067714A" w:rsidRDefault="008C5442" w:rsidP="00406A65">
            <w:pPr>
              <w:keepNext/>
              <w:jc w:val="right"/>
              <w:outlineLvl w:val="1"/>
              <w:rPr>
                <w:b/>
                <w:bCs/>
                <w:iCs/>
                <w:color w:val="000000"/>
                <w:szCs w:val="18"/>
              </w:rPr>
            </w:pPr>
            <w:r w:rsidRPr="0067714A">
              <w:rPr>
                <w:b/>
                <w:szCs w:val="18"/>
              </w:rPr>
              <w:t>Ordonnance collective</w:t>
            </w:r>
          </w:p>
        </w:tc>
      </w:tr>
      <w:tr w:rsidR="008C5442" w:rsidRPr="0067714A" w:rsidTr="00406A65">
        <w:trPr>
          <w:trHeight w:val="432"/>
        </w:trPr>
        <w:tc>
          <w:tcPr>
            <w:tcW w:w="1302" w:type="pct"/>
            <w:shd w:val="clear" w:color="000000" w:fill="auto"/>
            <w:vAlign w:val="center"/>
          </w:tcPr>
          <w:p w:rsidR="008C5442" w:rsidRPr="0067714A" w:rsidRDefault="008C5442" w:rsidP="00406A65">
            <w:pPr>
              <w:rPr>
                <w:b/>
                <w:bCs/>
                <w:color w:val="000000"/>
                <w:szCs w:val="18"/>
              </w:rPr>
            </w:pPr>
            <w:r w:rsidRPr="0067714A">
              <w:rPr>
                <w:b/>
                <w:bCs/>
                <w:color w:val="000000"/>
                <w:szCs w:val="18"/>
              </w:rPr>
              <w:t>No. de l’ordonnance :</w:t>
            </w:r>
          </w:p>
          <w:p w:rsidR="008C5442" w:rsidRPr="0067714A" w:rsidRDefault="008C5442" w:rsidP="00406A65">
            <w:pPr>
              <w:rPr>
                <w:b/>
                <w:bCs/>
                <w:i/>
                <w:color w:val="000000"/>
                <w:szCs w:val="18"/>
                <w:vertAlign w:val="superscript"/>
              </w:rPr>
            </w:pPr>
            <w:r w:rsidRPr="0067714A">
              <w:rPr>
                <w:b/>
                <w:bCs/>
                <w:color w:val="000000"/>
                <w:szCs w:val="18"/>
              </w:rPr>
              <w:t>À compléter</w:t>
            </w:r>
          </w:p>
        </w:tc>
        <w:tc>
          <w:tcPr>
            <w:tcW w:w="3698" w:type="pct"/>
            <w:gridSpan w:val="3"/>
            <w:shd w:val="clear" w:color="000000" w:fill="auto"/>
            <w:vAlign w:val="center"/>
          </w:tcPr>
          <w:p w:rsidR="008C5442" w:rsidRPr="0067714A" w:rsidRDefault="008C5442" w:rsidP="00406A65">
            <w:pPr>
              <w:keepNext/>
              <w:outlineLvl w:val="1"/>
              <w:rPr>
                <w:b/>
                <w:iCs/>
                <w:color w:val="000000"/>
                <w:szCs w:val="18"/>
              </w:rPr>
            </w:pPr>
            <w:r w:rsidRPr="0067714A">
              <w:rPr>
                <w:b/>
                <w:bCs/>
                <w:iCs/>
                <w:color w:val="000000"/>
                <w:szCs w:val="18"/>
              </w:rPr>
              <w:t>Initier une prophylaxie contre la grippe causée par le virus de l’influenza lors d’une éclosion</w:t>
            </w:r>
          </w:p>
        </w:tc>
      </w:tr>
      <w:tr w:rsidR="008C5442" w:rsidRPr="0067714A" w:rsidTr="00406A65">
        <w:trPr>
          <w:trHeight w:val="308"/>
        </w:trPr>
        <w:tc>
          <w:tcPr>
            <w:tcW w:w="1825" w:type="pct"/>
            <w:gridSpan w:val="2"/>
            <w:vMerge w:val="restart"/>
            <w:shd w:val="clear" w:color="000000" w:fill="auto"/>
            <w:vAlign w:val="center"/>
          </w:tcPr>
          <w:p w:rsidR="008C5442" w:rsidRPr="0067714A" w:rsidRDefault="008C5442" w:rsidP="00406A65">
            <w:pPr>
              <w:spacing w:before="60"/>
              <w:ind w:left="1259" w:hanging="1259"/>
              <w:rPr>
                <w:iCs/>
                <w:color w:val="000000"/>
                <w:szCs w:val="18"/>
              </w:rPr>
            </w:pPr>
            <w:r w:rsidRPr="0067714A">
              <w:rPr>
                <w:b/>
                <w:szCs w:val="18"/>
              </w:rPr>
              <w:t xml:space="preserve">Émise le </w:t>
            </w:r>
            <w:r w:rsidRPr="0067714A">
              <w:rPr>
                <w:szCs w:val="18"/>
              </w:rPr>
              <w:t xml:space="preserve">: </w:t>
            </w:r>
            <w:r w:rsidRPr="0067714A">
              <w:rPr>
                <w:i/>
                <w:szCs w:val="18"/>
              </w:rPr>
              <w:t>À compléter</w:t>
            </w:r>
          </w:p>
        </w:tc>
        <w:tc>
          <w:tcPr>
            <w:tcW w:w="3175" w:type="pct"/>
            <w:gridSpan w:val="2"/>
            <w:shd w:val="clear" w:color="000000" w:fill="auto"/>
            <w:vAlign w:val="center"/>
          </w:tcPr>
          <w:p w:rsidR="008C5442" w:rsidRPr="0067714A" w:rsidRDefault="008C5442" w:rsidP="00406A65">
            <w:pPr>
              <w:spacing w:before="60"/>
              <w:ind w:left="1259" w:hanging="1259"/>
              <w:rPr>
                <w:bCs/>
                <w:iCs/>
                <w:color w:val="000000"/>
                <w:szCs w:val="18"/>
              </w:rPr>
            </w:pPr>
            <w:r w:rsidRPr="0067714A">
              <w:rPr>
                <w:b/>
                <w:bCs/>
                <w:iCs/>
                <w:color w:val="000000"/>
                <w:szCs w:val="18"/>
              </w:rPr>
              <w:t xml:space="preserve">Révisée le </w:t>
            </w:r>
            <w:r w:rsidRPr="0067714A">
              <w:rPr>
                <w:bCs/>
                <w:iCs/>
                <w:color w:val="000000"/>
                <w:szCs w:val="18"/>
              </w:rPr>
              <w:t xml:space="preserve">: </w:t>
            </w:r>
            <w:r w:rsidRPr="0067714A">
              <w:rPr>
                <w:bCs/>
                <w:i/>
                <w:iCs/>
                <w:color w:val="000000"/>
                <w:szCs w:val="18"/>
              </w:rPr>
              <w:t>À compléter</w:t>
            </w:r>
          </w:p>
        </w:tc>
      </w:tr>
      <w:tr w:rsidR="008C5442" w:rsidRPr="0067714A" w:rsidTr="00406A65">
        <w:trPr>
          <w:trHeight w:val="307"/>
        </w:trPr>
        <w:tc>
          <w:tcPr>
            <w:tcW w:w="1825" w:type="pct"/>
            <w:gridSpan w:val="2"/>
            <w:vMerge/>
            <w:shd w:val="clear" w:color="000000" w:fill="auto"/>
            <w:vAlign w:val="center"/>
          </w:tcPr>
          <w:p w:rsidR="008C5442" w:rsidRPr="0067714A" w:rsidRDefault="008C5442" w:rsidP="00406A65">
            <w:pPr>
              <w:spacing w:before="60"/>
              <w:ind w:left="1259" w:hanging="1259"/>
              <w:rPr>
                <w:b/>
                <w:szCs w:val="18"/>
              </w:rPr>
            </w:pPr>
          </w:p>
        </w:tc>
        <w:tc>
          <w:tcPr>
            <w:tcW w:w="3175" w:type="pct"/>
            <w:gridSpan w:val="2"/>
            <w:shd w:val="clear" w:color="000000" w:fill="auto"/>
            <w:vAlign w:val="center"/>
          </w:tcPr>
          <w:p w:rsidR="008C5442" w:rsidRPr="0067714A" w:rsidRDefault="008C5442" w:rsidP="00406A65">
            <w:pPr>
              <w:spacing w:before="60"/>
              <w:ind w:left="1259" w:hanging="1259"/>
              <w:rPr>
                <w:b/>
                <w:iCs/>
                <w:color w:val="000000"/>
                <w:szCs w:val="18"/>
              </w:rPr>
            </w:pPr>
            <w:r w:rsidRPr="0067714A">
              <w:rPr>
                <w:b/>
                <w:iCs/>
                <w:color w:val="000000"/>
                <w:szCs w:val="18"/>
              </w:rPr>
              <w:t>Prochaine révision :</w:t>
            </w:r>
            <w:r w:rsidRPr="0067714A">
              <w:rPr>
                <w:b/>
                <w:i/>
                <w:iCs/>
                <w:color w:val="000000"/>
                <w:szCs w:val="18"/>
              </w:rPr>
              <w:t xml:space="preserve"> </w:t>
            </w:r>
            <w:r w:rsidRPr="0067714A">
              <w:rPr>
                <w:i/>
                <w:iCs/>
                <w:color w:val="000000"/>
                <w:szCs w:val="18"/>
              </w:rPr>
              <w:t>À compléter</w:t>
            </w:r>
          </w:p>
        </w:tc>
      </w:tr>
      <w:tr w:rsidR="008C5442" w:rsidRPr="0067714A" w:rsidTr="00406A65">
        <w:trPr>
          <w:trHeight w:val="335"/>
        </w:trPr>
        <w:tc>
          <w:tcPr>
            <w:tcW w:w="5000" w:type="pct"/>
            <w:gridSpan w:val="4"/>
            <w:tcBorders>
              <w:bottom w:val="single" w:sz="4" w:space="0" w:color="auto"/>
            </w:tcBorders>
            <w:shd w:val="clear" w:color="000000" w:fill="auto"/>
            <w:vAlign w:val="center"/>
          </w:tcPr>
          <w:p w:rsidR="008C5442" w:rsidRPr="0067714A" w:rsidRDefault="008C5442" w:rsidP="00406A65">
            <w:pPr>
              <w:spacing w:before="60" w:after="60"/>
              <w:rPr>
                <w:i/>
                <w:iCs/>
                <w:szCs w:val="18"/>
              </w:rPr>
            </w:pPr>
            <w:r w:rsidRPr="0067714A">
              <w:rPr>
                <w:b/>
                <w:iCs/>
                <w:szCs w:val="18"/>
              </w:rPr>
              <w:t xml:space="preserve">Installation(s) : </w:t>
            </w:r>
            <w:r w:rsidRPr="0067714A">
              <w:rPr>
                <w:i/>
                <w:iCs/>
                <w:szCs w:val="18"/>
              </w:rPr>
              <w:t>À compléter</w:t>
            </w:r>
          </w:p>
        </w:tc>
      </w:tr>
      <w:tr w:rsidR="008C5442" w:rsidRPr="0067714A" w:rsidTr="00406A65">
        <w:trPr>
          <w:trHeight w:val="397"/>
        </w:trPr>
        <w:tc>
          <w:tcPr>
            <w:tcW w:w="5000" w:type="pct"/>
            <w:gridSpan w:val="4"/>
            <w:shd w:val="clear" w:color="000000" w:fill="auto"/>
            <w:vAlign w:val="center"/>
          </w:tcPr>
          <w:p w:rsidR="008C5442" w:rsidRPr="0067714A" w:rsidRDefault="008C5442" w:rsidP="00406A65">
            <w:pPr>
              <w:tabs>
                <w:tab w:val="left" w:pos="1915"/>
              </w:tabs>
              <w:spacing w:before="60" w:after="60"/>
              <w:rPr>
                <w:iCs/>
                <w:szCs w:val="18"/>
              </w:rPr>
            </w:pPr>
            <w:r w:rsidRPr="0067714A">
              <w:rPr>
                <w:b/>
                <w:iCs/>
                <w:color w:val="000000"/>
                <w:szCs w:val="18"/>
              </w:rPr>
              <w:t xml:space="preserve">Secteurs d’activité visés : </w:t>
            </w:r>
            <w:r w:rsidRPr="0067714A">
              <w:rPr>
                <w:i/>
                <w:iCs/>
                <w:szCs w:val="18"/>
              </w:rPr>
              <w:t>À compléter</w:t>
            </w:r>
          </w:p>
          <w:p w:rsidR="008C5442" w:rsidRPr="0067714A" w:rsidRDefault="008C5442" w:rsidP="00406A65">
            <w:pPr>
              <w:tabs>
                <w:tab w:val="left" w:pos="1915"/>
              </w:tabs>
              <w:spacing w:before="60" w:after="60"/>
              <w:rPr>
                <w:bCs/>
                <w:iCs/>
                <w:color w:val="000000"/>
                <w:szCs w:val="18"/>
              </w:rPr>
            </w:pPr>
          </w:p>
        </w:tc>
      </w:tr>
      <w:tr w:rsidR="008C5442" w:rsidRPr="0067714A" w:rsidTr="00406A65">
        <w:trPr>
          <w:trHeight w:val="432"/>
        </w:trPr>
        <w:tc>
          <w:tcPr>
            <w:tcW w:w="5000" w:type="pct"/>
            <w:gridSpan w:val="4"/>
            <w:shd w:val="clear" w:color="000000" w:fill="auto"/>
            <w:vAlign w:val="center"/>
          </w:tcPr>
          <w:p w:rsidR="008C5442" w:rsidRPr="0067714A" w:rsidRDefault="008C5442" w:rsidP="00406A65">
            <w:pPr>
              <w:tabs>
                <w:tab w:val="left" w:pos="1915"/>
              </w:tabs>
              <w:spacing w:before="60" w:after="60"/>
              <w:rPr>
                <w:i/>
                <w:iCs/>
                <w:color w:val="000000"/>
                <w:szCs w:val="18"/>
              </w:rPr>
            </w:pPr>
            <w:r w:rsidRPr="0067714A">
              <w:rPr>
                <w:b/>
                <w:iCs/>
                <w:color w:val="000000"/>
                <w:szCs w:val="18"/>
              </w:rPr>
              <w:t>Clientèle visée</w:t>
            </w:r>
          </w:p>
          <w:p w:rsidR="008C5442" w:rsidRPr="0067714A" w:rsidRDefault="008C5442" w:rsidP="00406A65">
            <w:pPr>
              <w:tabs>
                <w:tab w:val="left" w:pos="1915"/>
              </w:tabs>
              <w:spacing w:before="60" w:after="60"/>
              <w:rPr>
                <w:iCs/>
                <w:color w:val="000000"/>
                <w:szCs w:val="18"/>
              </w:rPr>
            </w:pPr>
            <w:r w:rsidRPr="0067714A">
              <w:rPr>
                <w:iCs/>
                <w:color w:val="000000"/>
                <w:szCs w:val="18"/>
              </w:rPr>
              <w:t>Tous les usagers, vaccinés ou non, hébergés dans une unité en éclosion de grippe causée par le virus de l’influenza de type A ou B.</w:t>
            </w:r>
          </w:p>
        </w:tc>
      </w:tr>
    </w:tbl>
    <w:p w:rsidR="00054BA2" w:rsidRDefault="00054BA2" w:rsidP="008C5442">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C5442" w:rsidRPr="0067714A" w:rsidTr="00406A65">
        <w:trPr>
          <w:trHeight w:val="432"/>
        </w:trPr>
        <w:tc>
          <w:tcPr>
            <w:tcW w:w="5000" w:type="pct"/>
            <w:shd w:val="clear" w:color="auto" w:fill="auto"/>
          </w:tcPr>
          <w:p w:rsidR="008C5442" w:rsidRPr="0067714A" w:rsidRDefault="008C5442" w:rsidP="00406A65">
            <w:pPr>
              <w:tabs>
                <w:tab w:val="left" w:pos="8789"/>
              </w:tabs>
              <w:spacing w:before="60" w:after="60"/>
              <w:jc w:val="both"/>
              <w:rPr>
                <w:color w:val="000000"/>
                <w:szCs w:val="18"/>
              </w:rPr>
            </w:pPr>
            <w:r w:rsidRPr="0067714A">
              <w:rPr>
                <w:b/>
                <w:bCs/>
                <w:color w:val="000000"/>
                <w:szCs w:val="18"/>
              </w:rPr>
              <w:t>Professionnels habilités et visés par l’ordonnance</w:t>
            </w:r>
            <w:r w:rsidRPr="0067714A">
              <w:rPr>
                <w:b/>
                <w:color w:val="000000"/>
                <w:szCs w:val="18"/>
              </w:rPr>
              <w:t> :</w:t>
            </w:r>
            <w:r w:rsidRPr="0067714A">
              <w:rPr>
                <w:color w:val="000000"/>
                <w:szCs w:val="18"/>
              </w:rPr>
              <w:t xml:space="preserve"> </w:t>
            </w:r>
            <w:r w:rsidRPr="0067714A">
              <w:rPr>
                <w:bCs/>
                <w:i/>
                <w:iCs/>
                <w:szCs w:val="18"/>
              </w:rPr>
              <w:t>À compléter</w:t>
            </w:r>
          </w:p>
          <w:p w:rsidR="008C5442" w:rsidRPr="0067714A" w:rsidRDefault="008C5442" w:rsidP="00406A65">
            <w:pPr>
              <w:spacing w:before="60" w:after="60"/>
              <w:ind w:right="321"/>
              <w:jc w:val="both"/>
              <w:rPr>
                <w:color w:val="000000"/>
                <w:szCs w:val="18"/>
              </w:rPr>
            </w:pPr>
            <w:r w:rsidRPr="0067714A">
              <w:rPr>
                <w:bCs/>
                <w:iCs/>
                <w:color w:val="000000"/>
                <w:szCs w:val="18"/>
              </w:rPr>
              <w:t xml:space="preserve">Infirmiers et pharmaciens </w:t>
            </w:r>
            <w:r w:rsidRPr="0067714A">
              <w:rPr>
                <w:color w:val="000000"/>
                <w:szCs w:val="18"/>
              </w:rPr>
              <w:t>habilités qui possèdent la formation, les connaissances et les compétences nécessaires.</w:t>
            </w:r>
          </w:p>
        </w:tc>
      </w:tr>
      <w:tr w:rsidR="008C5442" w:rsidRPr="0067714A" w:rsidTr="00406A65">
        <w:trPr>
          <w:trHeight w:val="432"/>
        </w:trPr>
        <w:tc>
          <w:tcPr>
            <w:tcW w:w="5000" w:type="pct"/>
            <w:shd w:val="clear" w:color="auto" w:fill="auto"/>
          </w:tcPr>
          <w:p w:rsidR="008C5442" w:rsidRPr="0067714A" w:rsidRDefault="008C5442" w:rsidP="00406A65">
            <w:pPr>
              <w:tabs>
                <w:tab w:val="left" w:pos="356"/>
                <w:tab w:val="left" w:pos="8789"/>
              </w:tabs>
              <w:spacing w:before="60" w:after="60"/>
              <w:jc w:val="both"/>
              <w:rPr>
                <w:bCs/>
                <w:color w:val="000000"/>
                <w:szCs w:val="18"/>
              </w:rPr>
            </w:pPr>
            <w:r w:rsidRPr="0067714A">
              <w:rPr>
                <w:b/>
                <w:bCs/>
                <w:color w:val="000000"/>
                <w:szCs w:val="18"/>
              </w:rPr>
              <w:t>Activités réservées</w:t>
            </w:r>
          </w:p>
          <w:p w:rsidR="008C5442" w:rsidRPr="0067714A" w:rsidRDefault="008C5442" w:rsidP="00406A65">
            <w:pPr>
              <w:tabs>
                <w:tab w:val="left" w:pos="356"/>
                <w:tab w:val="left" w:pos="8789"/>
              </w:tabs>
              <w:spacing w:before="60" w:after="60"/>
              <w:jc w:val="both"/>
              <w:rPr>
                <w:bCs/>
                <w:i/>
                <w:color w:val="000000"/>
                <w:szCs w:val="18"/>
              </w:rPr>
            </w:pPr>
            <w:r w:rsidRPr="0067714A">
              <w:rPr>
                <w:bCs/>
                <w:i/>
                <w:color w:val="000000"/>
                <w:szCs w:val="18"/>
              </w:rPr>
              <w:t>Activités réservées aux infirmières</w:t>
            </w:r>
          </w:p>
          <w:p w:rsidR="008C5442" w:rsidRPr="0067714A" w:rsidRDefault="008C5442" w:rsidP="00406A65">
            <w:pPr>
              <w:pStyle w:val="Puce1"/>
              <w:widowControl w:val="0"/>
              <w:autoSpaceDE w:val="0"/>
              <w:autoSpaceDN w:val="0"/>
              <w:spacing w:before="54" w:after="60" w:line="240" w:lineRule="auto"/>
              <w:ind w:left="284" w:hanging="284"/>
              <w:rPr>
                <w:bCs/>
                <w:color w:val="000000"/>
                <w:sz w:val="18"/>
                <w:szCs w:val="18"/>
              </w:rPr>
            </w:pPr>
            <w:r w:rsidRPr="0067714A">
              <w:rPr>
                <w:sz w:val="18"/>
                <w:szCs w:val="18"/>
                <w:lang w:val="fr-FR"/>
              </w:rPr>
              <w:t>Évaluer</w:t>
            </w:r>
            <w:r w:rsidRPr="0067714A">
              <w:rPr>
                <w:bCs/>
                <w:color w:val="000000"/>
                <w:sz w:val="18"/>
                <w:szCs w:val="18"/>
              </w:rPr>
              <w:t xml:space="preserve"> la </w:t>
            </w:r>
            <w:r w:rsidRPr="0067714A">
              <w:rPr>
                <w:sz w:val="18"/>
                <w:szCs w:val="18"/>
              </w:rPr>
              <w:t>condition</w:t>
            </w:r>
            <w:r w:rsidRPr="0067714A">
              <w:rPr>
                <w:bCs/>
                <w:color w:val="000000"/>
                <w:sz w:val="18"/>
                <w:szCs w:val="18"/>
              </w:rPr>
              <w:t xml:space="preserve"> physique et mentale d’une personne symptomatique.</w:t>
            </w:r>
          </w:p>
          <w:p w:rsidR="008C5442" w:rsidRPr="0067714A" w:rsidRDefault="008C5442" w:rsidP="00406A65">
            <w:pPr>
              <w:pStyle w:val="Puce1"/>
              <w:widowControl w:val="0"/>
              <w:autoSpaceDE w:val="0"/>
              <w:autoSpaceDN w:val="0"/>
              <w:spacing w:before="54" w:after="60" w:line="240" w:lineRule="auto"/>
              <w:ind w:left="284" w:hanging="284"/>
              <w:rPr>
                <w:bCs/>
                <w:color w:val="000000"/>
                <w:sz w:val="18"/>
                <w:szCs w:val="18"/>
              </w:rPr>
            </w:pPr>
            <w:r w:rsidRPr="0067714A">
              <w:rPr>
                <w:bCs/>
                <w:color w:val="000000"/>
                <w:sz w:val="18"/>
                <w:szCs w:val="18"/>
              </w:rPr>
              <w:t xml:space="preserve">Initier </w:t>
            </w:r>
            <w:r w:rsidRPr="0067714A">
              <w:rPr>
                <w:sz w:val="18"/>
                <w:szCs w:val="18"/>
              </w:rPr>
              <w:t>des</w:t>
            </w:r>
            <w:r w:rsidRPr="0067714A">
              <w:rPr>
                <w:bCs/>
                <w:color w:val="000000"/>
                <w:sz w:val="18"/>
                <w:szCs w:val="18"/>
              </w:rPr>
              <w:t xml:space="preserve"> mesures diagnostiques et thérapeutiques selon l’ordonnance individuelle de l’usager.</w:t>
            </w:r>
          </w:p>
          <w:p w:rsidR="008C5442" w:rsidRPr="0067714A" w:rsidRDefault="008C5442" w:rsidP="00406A65">
            <w:pPr>
              <w:pStyle w:val="Puce1"/>
              <w:widowControl w:val="0"/>
              <w:autoSpaceDE w:val="0"/>
              <w:autoSpaceDN w:val="0"/>
              <w:spacing w:before="54" w:after="240" w:line="240" w:lineRule="auto"/>
              <w:ind w:left="284" w:hanging="284"/>
              <w:rPr>
                <w:bCs/>
                <w:color w:val="000000"/>
                <w:sz w:val="18"/>
                <w:szCs w:val="18"/>
              </w:rPr>
            </w:pPr>
            <w:r w:rsidRPr="0067714A">
              <w:rPr>
                <w:sz w:val="18"/>
                <w:szCs w:val="18"/>
                <w:lang w:val="fr-FR"/>
              </w:rPr>
              <w:t>Administrer</w:t>
            </w:r>
            <w:r w:rsidRPr="0067714A">
              <w:rPr>
                <w:bCs/>
                <w:color w:val="000000"/>
                <w:sz w:val="18"/>
                <w:szCs w:val="18"/>
              </w:rPr>
              <w:t xml:space="preserve"> et ajuster des médicaments ou d’autres substances lorsqu’ils font l’objet d’une ordonnance. </w:t>
            </w:r>
          </w:p>
          <w:p w:rsidR="008C5442" w:rsidRPr="0067714A" w:rsidRDefault="008C5442" w:rsidP="00406A65">
            <w:pPr>
              <w:tabs>
                <w:tab w:val="left" w:pos="356"/>
                <w:tab w:val="left" w:pos="8789"/>
              </w:tabs>
              <w:spacing w:before="60" w:after="60"/>
              <w:jc w:val="both"/>
              <w:rPr>
                <w:bCs/>
                <w:i/>
                <w:color w:val="000000"/>
                <w:szCs w:val="18"/>
              </w:rPr>
            </w:pPr>
            <w:r w:rsidRPr="0067714A">
              <w:rPr>
                <w:bCs/>
                <w:i/>
                <w:color w:val="000000"/>
                <w:szCs w:val="18"/>
              </w:rPr>
              <w:t>Activités réservées aux pharmaciens</w:t>
            </w:r>
          </w:p>
          <w:p w:rsidR="008C5442" w:rsidRPr="0067714A" w:rsidRDefault="008C5442" w:rsidP="00406A65">
            <w:pPr>
              <w:pStyle w:val="Puce1"/>
              <w:widowControl w:val="0"/>
              <w:autoSpaceDE w:val="0"/>
              <w:autoSpaceDN w:val="0"/>
              <w:spacing w:before="54" w:after="60" w:line="240" w:lineRule="auto"/>
              <w:ind w:left="284" w:hanging="284"/>
              <w:rPr>
                <w:bCs/>
                <w:color w:val="000000"/>
                <w:sz w:val="18"/>
                <w:szCs w:val="18"/>
              </w:rPr>
            </w:pPr>
            <w:r w:rsidRPr="0067714A">
              <w:rPr>
                <w:sz w:val="18"/>
                <w:szCs w:val="18"/>
                <w:lang w:val="fr-FR"/>
              </w:rPr>
              <w:t>Surveiller</w:t>
            </w:r>
            <w:r w:rsidRPr="0067714A">
              <w:rPr>
                <w:bCs/>
                <w:color w:val="000000"/>
                <w:sz w:val="18"/>
                <w:szCs w:val="18"/>
              </w:rPr>
              <w:t xml:space="preserve"> la thérapie médicamenteuse.</w:t>
            </w:r>
          </w:p>
          <w:p w:rsidR="008C5442" w:rsidRPr="0067714A" w:rsidRDefault="008C5442" w:rsidP="00406A65">
            <w:pPr>
              <w:pStyle w:val="Puce1"/>
              <w:widowControl w:val="0"/>
              <w:autoSpaceDE w:val="0"/>
              <w:autoSpaceDN w:val="0"/>
              <w:spacing w:before="54" w:after="60" w:line="240" w:lineRule="auto"/>
              <w:ind w:left="284" w:hanging="284"/>
              <w:rPr>
                <w:bCs/>
                <w:color w:val="000000"/>
                <w:sz w:val="18"/>
                <w:szCs w:val="18"/>
              </w:rPr>
            </w:pPr>
            <w:r w:rsidRPr="0067714A">
              <w:rPr>
                <w:bCs/>
                <w:color w:val="000000"/>
                <w:sz w:val="18"/>
                <w:szCs w:val="18"/>
              </w:rPr>
              <w:t xml:space="preserve">Initier </w:t>
            </w:r>
            <w:r w:rsidRPr="0067714A">
              <w:rPr>
                <w:sz w:val="18"/>
                <w:szCs w:val="18"/>
                <w:lang w:val="fr-FR"/>
              </w:rPr>
              <w:t>ou</w:t>
            </w:r>
            <w:r w:rsidRPr="0067714A">
              <w:rPr>
                <w:bCs/>
                <w:color w:val="000000"/>
                <w:sz w:val="18"/>
                <w:szCs w:val="18"/>
              </w:rPr>
              <w:t xml:space="preserve"> ajuster, selon une ordonnance, la thérapie médicamenteuse en recourant, le cas échéant, aux analyses de laboratoire appropriées.</w:t>
            </w:r>
          </w:p>
        </w:tc>
      </w:tr>
      <w:tr w:rsidR="008C5442" w:rsidRPr="0067714A" w:rsidTr="00406A65">
        <w:trPr>
          <w:trHeight w:val="432"/>
        </w:trPr>
        <w:tc>
          <w:tcPr>
            <w:tcW w:w="5000" w:type="pct"/>
            <w:shd w:val="clear" w:color="auto" w:fill="auto"/>
          </w:tcPr>
          <w:p w:rsidR="008C5442" w:rsidRPr="0067714A" w:rsidRDefault="008C5442" w:rsidP="00406A65">
            <w:pPr>
              <w:tabs>
                <w:tab w:val="left" w:pos="8789"/>
              </w:tabs>
              <w:spacing w:before="60" w:after="60"/>
              <w:jc w:val="both"/>
              <w:rPr>
                <w:b/>
                <w:bCs/>
                <w:color w:val="000000"/>
                <w:szCs w:val="18"/>
              </w:rPr>
            </w:pPr>
            <w:r w:rsidRPr="0067714A">
              <w:rPr>
                <w:b/>
                <w:bCs/>
                <w:color w:val="000000"/>
                <w:szCs w:val="18"/>
              </w:rPr>
              <w:t>Situation c</w:t>
            </w:r>
            <w:r>
              <w:rPr>
                <w:b/>
                <w:bCs/>
                <w:color w:val="000000"/>
                <w:szCs w:val="18"/>
              </w:rPr>
              <w:t>linique visée par l’ordonnance</w:t>
            </w:r>
          </w:p>
          <w:p w:rsidR="008C5442" w:rsidRPr="0067714A" w:rsidRDefault="008C5442" w:rsidP="00406A65">
            <w:pPr>
              <w:autoSpaceDE w:val="0"/>
              <w:autoSpaceDN w:val="0"/>
              <w:adjustRightInd w:val="0"/>
              <w:spacing w:before="60" w:after="40"/>
              <w:rPr>
                <w:color w:val="000000"/>
                <w:szCs w:val="18"/>
              </w:rPr>
            </w:pPr>
            <w:r w:rsidRPr="0067714A">
              <w:rPr>
                <w:szCs w:val="18"/>
              </w:rPr>
              <w:t>L’infirmière administre l’</w:t>
            </w:r>
            <w:proofErr w:type="spellStart"/>
            <w:r w:rsidRPr="0067714A">
              <w:rPr>
                <w:szCs w:val="18"/>
              </w:rPr>
              <w:t>oseltamivir</w:t>
            </w:r>
            <w:proofErr w:type="spellEnd"/>
            <w:r w:rsidRPr="0067714A">
              <w:rPr>
                <w:szCs w:val="18"/>
              </w:rPr>
              <w:t xml:space="preserve"> chez l’usager hébergé dans une unité en éclosion d’influenza de type A ou B, </w:t>
            </w:r>
            <w:r w:rsidRPr="00291E2E">
              <w:rPr>
                <w:szCs w:val="18"/>
              </w:rPr>
              <w:t>confirmée</w:t>
            </w:r>
            <w:r w:rsidRPr="0067714A">
              <w:rPr>
                <w:szCs w:val="18"/>
              </w:rPr>
              <w:t xml:space="preserve"> par le service de prévention et contrôle des infections (PCI).</w:t>
            </w:r>
          </w:p>
        </w:tc>
      </w:tr>
    </w:tbl>
    <w:p w:rsidR="00054BA2" w:rsidRDefault="00054BA2"/>
    <w:p w:rsidR="00543E3D" w:rsidRDefault="00543E3D">
      <w:pPr>
        <w:spacing w:after="0" w:line="240" w:lineRule="auto"/>
        <w:sectPr w:rsidR="00543E3D" w:rsidSect="008C5442">
          <w:headerReference w:type="even" r:id="rId7"/>
          <w:headerReference w:type="default" r:id="rId8"/>
          <w:footerReference w:type="even" r:id="rId9"/>
          <w:footerReference w:type="default" r:id="rId10"/>
          <w:pgSz w:w="12240" w:h="15840"/>
          <w:pgMar w:top="1418" w:right="720" w:bottom="1134" w:left="720" w:header="709" w:footer="709" w:gutter="0"/>
          <w:paperSrc w:first="7" w:other="7"/>
          <w:cols w:space="708"/>
          <w:docGrid w:linePitch="360"/>
        </w:sectPr>
      </w:pPr>
    </w:p>
    <w:p w:rsidR="008C5442" w:rsidRDefault="008C5442">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C5442" w:rsidRPr="0067714A" w:rsidTr="00406A65">
        <w:trPr>
          <w:trHeight w:val="432"/>
        </w:trPr>
        <w:tc>
          <w:tcPr>
            <w:tcW w:w="5000" w:type="pct"/>
            <w:shd w:val="clear" w:color="auto" w:fill="auto"/>
          </w:tcPr>
          <w:p w:rsidR="008C5442" w:rsidRPr="0067714A" w:rsidRDefault="008C5442" w:rsidP="00406A65">
            <w:pPr>
              <w:tabs>
                <w:tab w:val="left" w:pos="8789"/>
              </w:tabs>
              <w:spacing w:before="60" w:after="60"/>
              <w:jc w:val="both"/>
              <w:rPr>
                <w:b/>
                <w:bCs/>
                <w:color w:val="000000"/>
                <w:szCs w:val="18"/>
              </w:rPr>
            </w:pPr>
            <w:r w:rsidRPr="0067714A">
              <w:rPr>
                <w:b/>
                <w:bCs/>
                <w:color w:val="000000"/>
                <w:szCs w:val="18"/>
              </w:rPr>
              <w:t>Indications</w:t>
            </w:r>
          </w:p>
          <w:p w:rsidR="008C5442" w:rsidRPr="0067714A" w:rsidRDefault="008C5442" w:rsidP="00406A65">
            <w:pPr>
              <w:pStyle w:val="Puce1"/>
              <w:widowControl w:val="0"/>
              <w:autoSpaceDE w:val="0"/>
              <w:autoSpaceDN w:val="0"/>
              <w:spacing w:line="240" w:lineRule="auto"/>
              <w:ind w:left="284" w:hanging="284"/>
              <w:rPr>
                <w:bCs/>
                <w:color w:val="000000"/>
                <w:sz w:val="18"/>
                <w:szCs w:val="18"/>
              </w:rPr>
            </w:pPr>
            <w:r w:rsidRPr="0067714A">
              <w:rPr>
                <w:bCs/>
                <w:color w:val="000000"/>
                <w:sz w:val="18"/>
                <w:szCs w:val="18"/>
              </w:rPr>
              <w:t xml:space="preserve">Prophylaxie antivirale chez les usagers hébergés lors d’éclosion d’influenza de type A ou B confirmée par le service de prévention et contrôle des infections (PCI). </w:t>
            </w:r>
          </w:p>
          <w:p w:rsidR="008C5442" w:rsidRPr="0067714A" w:rsidRDefault="008C5442" w:rsidP="00406A65">
            <w:pPr>
              <w:pStyle w:val="Puce1"/>
              <w:widowControl w:val="0"/>
              <w:autoSpaceDE w:val="0"/>
              <w:autoSpaceDN w:val="0"/>
              <w:spacing w:after="60" w:line="240" w:lineRule="auto"/>
              <w:ind w:left="284" w:hanging="284"/>
              <w:rPr>
                <w:bCs/>
                <w:color w:val="000000"/>
                <w:sz w:val="18"/>
                <w:szCs w:val="18"/>
              </w:rPr>
            </w:pPr>
            <w:r w:rsidRPr="0067714A">
              <w:rPr>
                <w:bCs/>
                <w:color w:val="000000"/>
                <w:sz w:val="18"/>
                <w:szCs w:val="18"/>
              </w:rPr>
              <w:t>Cette ordonnance collective concerne les usagers des secteurs visés répondant à la définition de contact étroit (ayant séjournée 4 heures et plus dans la même chambre) d’un usager présentant des symptômes de syndrome d’allure grippale (SAG).</w:t>
            </w:r>
          </w:p>
          <w:p w:rsidR="008C5442" w:rsidRPr="0067714A" w:rsidRDefault="008C5442" w:rsidP="00406A65">
            <w:pPr>
              <w:pStyle w:val="TableParagraph"/>
              <w:spacing w:after="120"/>
              <w:ind w:left="284"/>
              <w:rPr>
                <w:sz w:val="18"/>
                <w:szCs w:val="18"/>
                <w:lang w:val="fr-CA"/>
              </w:rPr>
            </w:pPr>
            <w:r w:rsidRPr="0067714A">
              <w:rPr>
                <w:sz w:val="18"/>
                <w:szCs w:val="18"/>
                <w:lang w:val="fr-CA"/>
              </w:rPr>
              <w:t>Le tableau clinique consiste en une apparition soudaine de fièvre et de toux, et d’au moins l’un des symptômes suivants :</w:t>
            </w:r>
          </w:p>
          <w:p w:rsidR="008C5442" w:rsidRPr="0067714A" w:rsidRDefault="008C5442" w:rsidP="00406A65">
            <w:pPr>
              <w:pStyle w:val="TableParagraph"/>
              <w:spacing w:after="120"/>
              <w:ind w:left="568" w:hanging="284"/>
              <w:rPr>
                <w:rFonts w:ascii="HelveticaNeueLT Std" w:hAnsi="HelveticaNeueLT Std"/>
                <w:sz w:val="18"/>
                <w:szCs w:val="18"/>
                <w:lang w:val="fr-CA"/>
              </w:rPr>
            </w:pPr>
            <w:r w:rsidRPr="0067714A">
              <w:rPr>
                <w:rFonts w:ascii="HelveticaNeueLT Std" w:hAnsi="HelveticaNeueLT Std"/>
                <w:sz w:val="18"/>
                <w:szCs w:val="18"/>
                <w:lang w:val="fr-CA"/>
              </w:rPr>
              <w:t>1.</w:t>
            </w:r>
            <w:r w:rsidRPr="0067714A">
              <w:rPr>
                <w:rFonts w:ascii="HelveticaNeueLT Std" w:hAnsi="HelveticaNeueLT Std"/>
                <w:sz w:val="18"/>
                <w:szCs w:val="18"/>
                <w:lang w:val="fr-CA"/>
              </w:rPr>
              <w:tab/>
              <w:t>mal de gorge</w:t>
            </w:r>
          </w:p>
          <w:p w:rsidR="008C5442" w:rsidRPr="0067714A" w:rsidRDefault="008C5442" w:rsidP="00406A65">
            <w:pPr>
              <w:pStyle w:val="TableParagraph"/>
              <w:spacing w:after="120"/>
              <w:ind w:left="568" w:hanging="284"/>
              <w:rPr>
                <w:rFonts w:ascii="HelveticaNeueLT Std" w:hAnsi="HelveticaNeueLT Std"/>
                <w:sz w:val="18"/>
                <w:szCs w:val="18"/>
                <w:lang w:val="fr-CA"/>
              </w:rPr>
            </w:pPr>
            <w:r w:rsidRPr="0067714A">
              <w:rPr>
                <w:rFonts w:ascii="HelveticaNeueLT Std" w:hAnsi="HelveticaNeueLT Std"/>
                <w:sz w:val="18"/>
                <w:szCs w:val="18"/>
                <w:lang w:val="fr-CA"/>
              </w:rPr>
              <w:t>2.</w:t>
            </w:r>
            <w:r w:rsidRPr="0067714A">
              <w:rPr>
                <w:rFonts w:ascii="HelveticaNeueLT Std" w:hAnsi="HelveticaNeueLT Std"/>
                <w:sz w:val="18"/>
                <w:szCs w:val="18"/>
                <w:lang w:val="fr-CA"/>
              </w:rPr>
              <w:tab/>
              <w:t>arthralgie</w:t>
            </w:r>
          </w:p>
          <w:p w:rsidR="008C5442" w:rsidRPr="0067714A" w:rsidRDefault="008C5442" w:rsidP="00406A65">
            <w:pPr>
              <w:pStyle w:val="TableParagraph"/>
              <w:spacing w:after="120"/>
              <w:ind w:left="568" w:hanging="284"/>
              <w:rPr>
                <w:rFonts w:ascii="HelveticaNeueLT Std" w:hAnsi="HelveticaNeueLT Std"/>
                <w:sz w:val="18"/>
                <w:szCs w:val="18"/>
                <w:lang w:val="fr-CA"/>
              </w:rPr>
            </w:pPr>
            <w:r w:rsidRPr="0067714A">
              <w:rPr>
                <w:rFonts w:ascii="HelveticaNeueLT Std" w:hAnsi="HelveticaNeueLT Std"/>
                <w:sz w:val="18"/>
                <w:szCs w:val="18"/>
                <w:lang w:val="fr-CA"/>
              </w:rPr>
              <w:t>3.</w:t>
            </w:r>
            <w:r w:rsidRPr="0067714A">
              <w:rPr>
                <w:rFonts w:ascii="HelveticaNeueLT Std" w:hAnsi="HelveticaNeueLT Std"/>
                <w:sz w:val="18"/>
                <w:szCs w:val="18"/>
                <w:lang w:val="fr-CA"/>
              </w:rPr>
              <w:tab/>
              <w:t>myalgie</w:t>
            </w:r>
          </w:p>
          <w:p w:rsidR="008C5442" w:rsidRPr="0067714A" w:rsidRDefault="008C5442" w:rsidP="00406A65">
            <w:pPr>
              <w:pStyle w:val="TableParagraph"/>
              <w:spacing w:after="240"/>
              <w:ind w:left="568" w:hanging="284"/>
              <w:rPr>
                <w:rFonts w:ascii="HelveticaNeueLT Std" w:hAnsi="HelveticaNeueLT Std"/>
                <w:sz w:val="18"/>
                <w:szCs w:val="18"/>
                <w:lang w:val="fr-CA"/>
              </w:rPr>
            </w:pPr>
            <w:r w:rsidRPr="0067714A">
              <w:rPr>
                <w:rFonts w:ascii="HelveticaNeueLT Std" w:hAnsi="HelveticaNeueLT Std"/>
                <w:sz w:val="18"/>
                <w:szCs w:val="18"/>
                <w:lang w:val="fr-CA"/>
              </w:rPr>
              <w:t>4.</w:t>
            </w:r>
            <w:r w:rsidRPr="0067714A">
              <w:rPr>
                <w:rFonts w:ascii="HelveticaNeueLT Std" w:hAnsi="HelveticaNeueLT Std"/>
                <w:sz w:val="18"/>
                <w:szCs w:val="18"/>
                <w:lang w:val="fr-CA"/>
              </w:rPr>
              <w:tab/>
              <w:t>fatigue extrême</w:t>
            </w:r>
          </w:p>
          <w:p w:rsidR="008C5442" w:rsidRPr="0067714A" w:rsidRDefault="008C5442" w:rsidP="00406A65">
            <w:pPr>
              <w:pStyle w:val="Puce1"/>
              <w:widowControl w:val="0"/>
              <w:autoSpaceDE w:val="0"/>
              <w:autoSpaceDN w:val="0"/>
              <w:spacing w:line="240" w:lineRule="auto"/>
              <w:ind w:left="284" w:hanging="284"/>
              <w:rPr>
                <w:bCs/>
                <w:color w:val="000000"/>
                <w:sz w:val="18"/>
                <w:szCs w:val="18"/>
              </w:rPr>
            </w:pPr>
            <w:r w:rsidRPr="0067714A">
              <w:rPr>
                <w:bCs/>
                <w:color w:val="000000"/>
                <w:sz w:val="18"/>
                <w:szCs w:val="18"/>
              </w:rPr>
              <w:t xml:space="preserve">La conseillère en PCI peut décider de débuter une prophylaxie antivirale chez un usager n’ayant pas séjournée 4 heures et plus dans la même chambre qu’un usager présentant un SAG, mais qui est considéré comme un contact étroit, selon son évaluation. Elle peut également initier la prophylaxie à large échelle suite à une directive du médecin responsable de la santé publique, du médecin microbiologiste-infectiologue </w:t>
            </w:r>
            <w:proofErr w:type="gramStart"/>
            <w:r w:rsidRPr="0067714A">
              <w:rPr>
                <w:bCs/>
                <w:color w:val="000000"/>
                <w:sz w:val="18"/>
                <w:szCs w:val="18"/>
              </w:rPr>
              <w:t>officier</w:t>
            </w:r>
            <w:proofErr w:type="gramEnd"/>
            <w:r w:rsidRPr="0067714A">
              <w:rPr>
                <w:bCs/>
                <w:color w:val="000000"/>
                <w:sz w:val="18"/>
                <w:szCs w:val="18"/>
              </w:rPr>
              <w:t xml:space="preserve"> en PCI ou du médecin traitant sur l’unité.</w:t>
            </w:r>
          </w:p>
          <w:p w:rsidR="008C5442" w:rsidRPr="0067714A" w:rsidRDefault="008C5442" w:rsidP="00406A65">
            <w:pPr>
              <w:pStyle w:val="Puce1"/>
              <w:widowControl w:val="0"/>
              <w:autoSpaceDE w:val="0"/>
              <w:autoSpaceDN w:val="0"/>
              <w:spacing w:before="54" w:after="60" w:line="240" w:lineRule="auto"/>
              <w:ind w:left="284" w:hanging="284"/>
              <w:rPr>
                <w:bCs/>
                <w:color w:val="000000"/>
                <w:sz w:val="18"/>
                <w:szCs w:val="18"/>
              </w:rPr>
            </w:pPr>
            <w:r w:rsidRPr="0067714A">
              <w:rPr>
                <w:bCs/>
                <w:color w:val="000000"/>
                <w:sz w:val="18"/>
                <w:szCs w:val="18"/>
              </w:rPr>
              <w:t>La posologie d’</w:t>
            </w:r>
            <w:proofErr w:type="spellStart"/>
            <w:r w:rsidRPr="0067714A">
              <w:rPr>
                <w:bCs/>
                <w:color w:val="000000"/>
                <w:sz w:val="18"/>
                <w:szCs w:val="18"/>
              </w:rPr>
              <w:t>oseltamivir</w:t>
            </w:r>
            <w:proofErr w:type="spellEnd"/>
            <w:r w:rsidRPr="0067714A">
              <w:rPr>
                <w:bCs/>
                <w:color w:val="000000"/>
                <w:sz w:val="18"/>
                <w:szCs w:val="18"/>
              </w:rPr>
              <w:t xml:space="preserve"> sera ajustée par le pharmacien, selon la clairance à la créatinine (</w:t>
            </w:r>
            <w:proofErr w:type="spellStart"/>
            <w:r w:rsidRPr="0067714A">
              <w:rPr>
                <w:bCs/>
                <w:color w:val="000000"/>
                <w:sz w:val="18"/>
                <w:szCs w:val="18"/>
              </w:rPr>
              <w:t>ClCr</w:t>
            </w:r>
            <w:proofErr w:type="spellEnd"/>
            <w:r w:rsidRPr="0067714A">
              <w:rPr>
                <w:bCs/>
                <w:color w:val="000000"/>
                <w:sz w:val="18"/>
                <w:szCs w:val="18"/>
              </w:rPr>
              <w:t>) de l’usager. La dose d’</w:t>
            </w:r>
            <w:proofErr w:type="spellStart"/>
            <w:r w:rsidRPr="0067714A">
              <w:rPr>
                <w:bCs/>
                <w:color w:val="000000"/>
                <w:sz w:val="18"/>
                <w:szCs w:val="18"/>
              </w:rPr>
              <w:t>oseltamivir</w:t>
            </w:r>
            <w:proofErr w:type="spellEnd"/>
            <w:r w:rsidRPr="0067714A">
              <w:rPr>
                <w:bCs/>
                <w:color w:val="000000"/>
                <w:sz w:val="18"/>
                <w:szCs w:val="18"/>
              </w:rPr>
              <w:t xml:space="preserve"> à administrer étant déterminée à partir de la clairance à la créatinine (</w:t>
            </w:r>
            <w:proofErr w:type="spellStart"/>
            <w:r w:rsidRPr="0067714A">
              <w:rPr>
                <w:bCs/>
                <w:color w:val="000000"/>
                <w:sz w:val="18"/>
                <w:szCs w:val="18"/>
              </w:rPr>
              <w:t>ClCr</w:t>
            </w:r>
            <w:proofErr w:type="spellEnd"/>
            <w:r w:rsidRPr="0067714A">
              <w:rPr>
                <w:bCs/>
                <w:color w:val="000000"/>
                <w:sz w:val="18"/>
                <w:szCs w:val="18"/>
              </w:rPr>
              <w:t xml:space="preserve">) de l’usager, une vérification doit obligatoirement être faite à l’aide de la </w:t>
            </w:r>
            <w:proofErr w:type="spellStart"/>
            <w:r w:rsidRPr="0067714A">
              <w:rPr>
                <w:bCs/>
                <w:color w:val="000000"/>
                <w:sz w:val="18"/>
                <w:szCs w:val="18"/>
              </w:rPr>
              <w:t>ClCr</w:t>
            </w:r>
            <w:proofErr w:type="spellEnd"/>
            <w:r w:rsidRPr="0067714A">
              <w:rPr>
                <w:bCs/>
                <w:color w:val="000000"/>
                <w:sz w:val="18"/>
                <w:szCs w:val="18"/>
              </w:rPr>
              <w:t xml:space="preserve"> inscrite sur la fiche d’administration des médicaments (FADM)</w:t>
            </w:r>
          </w:p>
        </w:tc>
      </w:tr>
      <w:tr w:rsidR="008C5442" w:rsidRPr="0067714A" w:rsidTr="00406A65">
        <w:trPr>
          <w:trHeight w:val="432"/>
        </w:trPr>
        <w:tc>
          <w:tcPr>
            <w:tcW w:w="5000" w:type="pct"/>
            <w:shd w:val="clear" w:color="auto" w:fill="auto"/>
          </w:tcPr>
          <w:p w:rsidR="008C5442" w:rsidRPr="0067714A" w:rsidRDefault="008C5442" w:rsidP="00406A65">
            <w:pPr>
              <w:tabs>
                <w:tab w:val="left" w:pos="8789"/>
              </w:tabs>
              <w:spacing w:before="60" w:after="60"/>
              <w:jc w:val="both"/>
              <w:rPr>
                <w:b/>
                <w:bCs/>
                <w:color w:val="000000"/>
                <w:szCs w:val="18"/>
              </w:rPr>
            </w:pPr>
            <w:r w:rsidRPr="0067714A">
              <w:rPr>
                <w:b/>
                <w:bCs/>
                <w:color w:val="000000"/>
                <w:szCs w:val="18"/>
              </w:rPr>
              <w:t>Contre-indications</w:t>
            </w:r>
          </w:p>
          <w:p w:rsidR="008C5442" w:rsidRPr="0067714A" w:rsidRDefault="008C5442" w:rsidP="00406A65">
            <w:pPr>
              <w:tabs>
                <w:tab w:val="left" w:pos="8789"/>
              </w:tabs>
              <w:spacing w:after="60"/>
              <w:jc w:val="both"/>
              <w:rPr>
                <w:b/>
                <w:bCs/>
                <w:color w:val="000000"/>
                <w:szCs w:val="18"/>
              </w:rPr>
            </w:pPr>
            <w:r w:rsidRPr="0067714A">
              <w:rPr>
                <w:bCs/>
                <w:color w:val="000000"/>
                <w:szCs w:val="18"/>
              </w:rPr>
              <w:t xml:space="preserve">Hypersensibilité connue à l’une des composantes du produit </w:t>
            </w:r>
          </w:p>
        </w:tc>
      </w:tr>
      <w:tr w:rsidR="008C5442" w:rsidRPr="0067714A" w:rsidTr="00406A65">
        <w:trPr>
          <w:trHeight w:val="432"/>
        </w:trPr>
        <w:tc>
          <w:tcPr>
            <w:tcW w:w="5000" w:type="pct"/>
            <w:shd w:val="clear" w:color="auto" w:fill="auto"/>
          </w:tcPr>
          <w:p w:rsidR="008C5442" w:rsidRPr="0067714A" w:rsidRDefault="008C5442" w:rsidP="00406A65">
            <w:pPr>
              <w:tabs>
                <w:tab w:val="left" w:pos="8789"/>
              </w:tabs>
              <w:spacing w:before="60" w:after="60"/>
              <w:jc w:val="both"/>
              <w:rPr>
                <w:b/>
                <w:bCs/>
                <w:szCs w:val="18"/>
              </w:rPr>
            </w:pPr>
            <w:r w:rsidRPr="0067714A">
              <w:rPr>
                <w:b/>
                <w:bCs/>
                <w:szCs w:val="18"/>
              </w:rPr>
              <w:t>Orientations vers le médecin</w:t>
            </w:r>
          </w:p>
          <w:p w:rsidR="008C5442" w:rsidRPr="0067714A" w:rsidRDefault="008C5442" w:rsidP="00406A65">
            <w:pPr>
              <w:pStyle w:val="Puce1"/>
              <w:widowControl w:val="0"/>
              <w:autoSpaceDE w:val="0"/>
              <w:autoSpaceDN w:val="0"/>
              <w:spacing w:after="60" w:line="240" w:lineRule="auto"/>
              <w:ind w:left="284" w:hanging="284"/>
              <w:rPr>
                <w:bCs/>
                <w:color w:val="000000"/>
                <w:sz w:val="18"/>
                <w:szCs w:val="18"/>
              </w:rPr>
            </w:pPr>
            <w:r w:rsidRPr="0067714A">
              <w:rPr>
                <w:bCs/>
                <w:color w:val="000000"/>
                <w:sz w:val="18"/>
                <w:szCs w:val="18"/>
              </w:rPr>
              <w:t>Selon le jugement clinique de l’infirmière, en présence de questionnements de sa part quant aux contre-indications, aux mises en garde ou pour toute autre question pertinente.</w:t>
            </w:r>
          </w:p>
          <w:p w:rsidR="008C5442" w:rsidRPr="0067714A" w:rsidRDefault="008C5442" w:rsidP="00406A65">
            <w:pPr>
              <w:pStyle w:val="Puce1"/>
              <w:widowControl w:val="0"/>
              <w:autoSpaceDE w:val="0"/>
              <w:autoSpaceDN w:val="0"/>
              <w:spacing w:before="54" w:after="60" w:line="240" w:lineRule="auto"/>
              <w:ind w:left="284" w:hanging="284"/>
              <w:rPr>
                <w:bCs/>
                <w:color w:val="000000"/>
                <w:sz w:val="18"/>
                <w:szCs w:val="18"/>
              </w:rPr>
            </w:pPr>
            <w:r w:rsidRPr="0067714A">
              <w:rPr>
                <w:bCs/>
                <w:color w:val="000000"/>
                <w:sz w:val="18"/>
                <w:szCs w:val="18"/>
              </w:rPr>
              <w:t>Lorsque l’état général de l’usager s’est détérioré, depuis le dernier dosage de la créatinine sérique (cela pourrait nécessiter un nouveau dosage de la créatinine sérique et un ajustement de la posologie d’</w:t>
            </w:r>
            <w:proofErr w:type="spellStart"/>
            <w:r w:rsidRPr="0067714A">
              <w:rPr>
                <w:bCs/>
                <w:color w:val="000000"/>
                <w:sz w:val="18"/>
                <w:szCs w:val="18"/>
              </w:rPr>
              <w:t>oseltamivir</w:t>
            </w:r>
            <w:proofErr w:type="spellEnd"/>
            <w:r w:rsidRPr="0067714A">
              <w:rPr>
                <w:bCs/>
                <w:color w:val="000000"/>
                <w:sz w:val="18"/>
                <w:szCs w:val="18"/>
              </w:rPr>
              <w:t xml:space="preserve">). </w:t>
            </w:r>
          </w:p>
          <w:p w:rsidR="008C5442" w:rsidRPr="0067714A" w:rsidRDefault="008C5442" w:rsidP="00406A65">
            <w:pPr>
              <w:pStyle w:val="Puce1"/>
              <w:widowControl w:val="0"/>
              <w:autoSpaceDE w:val="0"/>
              <w:autoSpaceDN w:val="0"/>
              <w:spacing w:before="54" w:after="60" w:line="240" w:lineRule="auto"/>
              <w:ind w:left="284" w:hanging="284"/>
              <w:rPr>
                <w:b/>
                <w:bCs/>
                <w:color w:val="000000"/>
                <w:sz w:val="18"/>
                <w:szCs w:val="18"/>
              </w:rPr>
            </w:pPr>
            <w:r w:rsidRPr="0067714A">
              <w:rPr>
                <w:bCs/>
                <w:color w:val="000000"/>
                <w:sz w:val="18"/>
                <w:szCs w:val="18"/>
              </w:rPr>
              <w:t>Lorsqu’un usager sous prophylaxie développe un SAG et qu’il y a nécessité de passer au traitement.</w:t>
            </w:r>
          </w:p>
        </w:tc>
      </w:tr>
    </w:tbl>
    <w:p w:rsidR="008C5442" w:rsidRDefault="008C5442"/>
    <w:p w:rsidR="008C5442" w:rsidRDefault="008C5442" w:rsidP="008C5442">
      <w:r>
        <w:br w:type="page"/>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C5442" w:rsidRPr="007D799C" w:rsidTr="00406A65">
        <w:trPr>
          <w:trHeight w:val="432"/>
        </w:trPr>
        <w:tc>
          <w:tcPr>
            <w:tcW w:w="5000" w:type="pct"/>
            <w:shd w:val="clear" w:color="auto" w:fill="auto"/>
          </w:tcPr>
          <w:p w:rsidR="008C5442" w:rsidRPr="007D799C" w:rsidRDefault="008C5442" w:rsidP="00406A65">
            <w:pPr>
              <w:tabs>
                <w:tab w:val="left" w:pos="8789"/>
              </w:tabs>
              <w:spacing w:before="60" w:after="60"/>
              <w:jc w:val="both"/>
              <w:rPr>
                <w:b/>
                <w:bCs/>
                <w:szCs w:val="18"/>
              </w:rPr>
            </w:pPr>
            <w:r w:rsidRPr="007D799C">
              <w:rPr>
                <w:b/>
                <w:bCs/>
                <w:szCs w:val="18"/>
              </w:rPr>
              <w:lastRenderedPageBreak/>
              <w:t>DIRECTIVES</w:t>
            </w:r>
          </w:p>
          <w:p w:rsidR="008C5442" w:rsidRPr="007D799C" w:rsidRDefault="008C5442" w:rsidP="00406A65">
            <w:pPr>
              <w:tabs>
                <w:tab w:val="left" w:pos="8789"/>
              </w:tabs>
              <w:spacing w:after="240"/>
              <w:jc w:val="both"/>
              <w:rPr>
                <w:bCs/>
                <w:szCs w:val="18"/>
              </w:rPr>
            </w:pPr>
            <w:r w:rsidRPr="007D799C">
              <w:rPr>
                <w:bCs/>
                <w:szCs w:val="18"/>
              </w:rPr>
              <w:t>Avant d’initier une prophylaxie à l’aide de l’</w:t>
            </w:r>
            <w:proofErr w:type="spellStart"/>
            <w:r w:rsidRPr="007D799C">
              <w:rPr>
                <w:bCs/>
                <w:szCs w:val="18"/>
              </w:rPr>
              <w:t>oseltamivir</w:t>
            </w:r>
            <w:proofErr w:type="spellEnd"/>
            <w:r w:rsidRPr="007D799C">
              <w:rPr>
                <w:bCs/>
                <w:szCs w:val="18"/>
              </w:rPr>
              <w:t xml:space="preserve"> – ci-après nommé « antiviral », « traitement antiviral » ou « prophylaxie antivirale » :</w:t>
            </w:r>
          </w:p>
          <w:p w:rsidR="008C5442" w:rsidRPr="00054625" w:rsidRDefault="008C5442" w:rsidP="00406A65">
            <w:pPr>
              <w:tabs>
                <w:tab w:val="left" w:pos="356"/>
                <w:tab w:val="left" w:pos="8789"/>
              </w:tabs>
              <w:spacing w:after="60"/>
              <w:jc w:val="both"/>
              <w:rPr>
                <w:b/>
                <w:bCs/>
                <w:color w:val="000000"/>
                <w:szCs w:val="18"/>
              </w:rPr>
            </w:pPr>
            <w:r w:rsidRPr="00054625">
              <w:rPr>
                <w:b/>
                <w:bCs/>
                <w:color w:val="000000"/>
                <w:szCs w:val="18"/>
              </w:rPr>
              <w:t>Directives pour le personnel infirmier</w:t>
            </w:r>
          </w:p>
          <w:p w:rsidR="008C5442" w:rsidRPr="007D799C" w:rsidRDefault="008C5442" w:rsidP="00406A65">
            <w:pPr>
              <w:pStyle w:val="Puce1"/>
              <w:widowControl w:val="0"/>
              <w:autoSpaceDE w:val="0"/>
              <w:autoSpaceDN w:val="0"/>
              <w:spacing w:after="60" w:line="240" w:lineRule="auto"/>
              <w:ind w:left="284" w:hanging="284"/>
              <w:rPr>
                <w:bCs/>
                <w:sz w:val="18"/>
                <w:szCs w:val="18"/>
              </w:rPr>
            </w:pPr>
            <w:r w:rsidRPr="007D799C">
              <w:rPr>
                <w:bCs/>
                <w:sz w:val="18"/>
                <w:szCs w:val="18"/>
              </w:rPr>
              <w:t>S’assurer d’avoir au dossier les informations suivantes obtenues il y a moins d’un an : poids, taille et dosage de créatinine sérique, pour les usagers ayant consenti à la prophylaxie antivirale.</w:t>
            </w:r>
          </w:p>
          <w:p w:rsidR="008C5442" w:rsidRPr="007D799C" w:rsidRDefault="008C5442" w:rsidP="00406A65">
            <w:pPr>
              <w:pStyle w:val="Puce2"/>
              <w:ind w:left="568" w:hanging="284"/>
              <w:rPr>
                <w:sz w:val="18"/>
              </w:rPr>
            </w:pPr>
            <w:r w:rsidRPr="007D799C">
              <w:rPr>
                <w:sz w:val="18"/>
              </w:rPr>
              <w:t>Si aucune créatinine sérique datant de moins d’un an n’est disponible au dossier de l’usager, procéder à ce prélèvement (valider au préalable avec le médecin traitant la nécessité de faire d’autres analyses par la même occasion).</w:t>
            </w:r>
          </w:p>
          <w:p w:rsidR="008C5442" w:rsidRPr="007D799C" w:rsidRDefault="008C5442" w:rsidP="00406A65">
            <w:pPr>
              <w:pStyle w:val="Puce2"/>
              <w:ind w:left="568" w:hanging="284"/>
              <w:rPr>
                <w:bCs/>
                <w:sz w:val="18"/>
                <w:szCs w:val="18"/>
              </w:rPr>
            </w:pPr>
            <w:r w:rsidRPr="007D799C">
              <w:rPr>
                <w:bCs/>
                <w:sz w:val="18"/>
                <w:szCs w:val="18"/>
              </w:rPr>
              <w:t>Faire parvenir ces informations à la pharmacie, dès que disponibles.</w:t>
            </w:r>
          </w:p>
          <w:p w:rsidR="008C5442" w:rsidRPr="007D799C" w:rsidRDefault="008C5442" w:rsidP="00406A65">
            <w:pPr>
              <w:pStyle w:val="Puce2"/>
              <w:ind w:left="568" w:hanging="284"/>
              <w:rPr>
                <w:bCs/>
                <w:sz w:val="18"/>
                <w:szCs w:val="18"/>
              </w:rPr>
            </w:pPr>
            <w:r w:rsidRPr="007D799C">
              <w:rPr>
                <w:bCs/>
                <w:sz w:val="18"/>
                <w:szCs w:val="18"/>
              </w:rPr>
              <w:t xml:space="preserve">En présence de nouvelles données, communiquer avec le pharmacien pour mettre à jour les données de l’usager (poids, taille, créatinine) afin d’obtenir un calcul de la </w:t>
            </w:r>
            <w:proofErr w:type="spellStart"/>
            <w:r w:rsidRPr="007D799C">
              <w:rPr>
                <w:bCs/>
                <w:sz w:val="18"/>
                <w:szCs w:val="18"/>
              </w:rPr>
              <w:t>Clcr</w:t>
            </w:r>
            <w:proofErr w:type="spellEnd"/>
            <w:r w:rsidRPr="007D799C">
              <w:rPr>
                <w:bCs/>
                <w:sz w:val="18"/>
                <w:szCs w:val="18"/>
              </w:rPr>
              <w:t xml:space="preserve"> le plus à jour possible.</w:t>
            </w:r>
          </w:p>
          <w:p w:rsidR="008C5442" w:rsidRPr="007D799C" w:rsidRDefault="008C5442" w:rsidP="00406A65">
            <w:pPr>
              <w:pStyle w:val="Puce1"/>
              <w:widowControl w:val="0"/>
              <w:autoSpaceDE w:val="0"/>
              <w:autoSpaceDN w:val="0"/>
              <w:spacing w:after="240" w:line="240" w:lineRule="auto"/>
              <w:ind w:left="284" w:hanging="284"/>
              <w:rPr>
                <w:bCs/>
                <w:sz w:val="18"/>
                <w:szCs w:val="18"/>
              </w:rPr>
            </w:pPr>
            <w:r w:rsidRPr="007D799C">
              <w:rPr>
                <w:bCs/>
                <w:sz w:val="18"/>
                <w:szCs w:val="18"/>
              </w:rPr>
              <w:t>Pour chaque usager ayant consenti à la prise d’antiviraux, vérifier les contre-indications.</w:t>
            </w:r>
          </w:p>
          <w:p w:rsidR="008C5442" w:rsidRPr="00054625" w:rsidRDefault="008C5442" w:rsidP="00406A65">
            <w:pPr>
              <w:tabs>
                <w:tab w:val="left" w:pos="356"/>
                <w:tab w:val="left" w:pos="8789"/>
              </w:tabs>
              <w:spacing w:after="60"/>
              <w:jc w:val="both"/>
              <w:rPr>
                <w:b/>
                <w:bCs/>
                <w:color w:val="000000"/>
                <w:szCs w:val="18"/>
              </w:rPr>
            </w:pPr>
            <w:r w:rsidRPr="00054625">
              <w:rPr>
                <w:b/>
                <w:bCs/>
                <w:color w:val="000000"/>
                <w:szCs w:val="18"/>
              </w:rPr>
              <w:t>Directives pour le pharmacien</w:t>
            </w:r>
          </w:p>
          <w:p w:rsidR="008C5442" w:rsidRPr="007D799C" w:rsidRDefault="008C5442" w:rsidP="00406A65">
            <w:pPr>
              <w:pStyle w:val="Puce1"/>
              <w:widowControl w:val="0"/>
              <w:autoSpaceDE w:val="0"/>
              <w:autoSpaceDN w:val="0"/>
              <w:spacing w:after="60" w:line="240" w:lineRule="auto"/>
              <w:ind w:left="284" w:hanging="284"/>
              <w:rPr>
                <w:bCs/>
                <w:sz w:val="18"/>
                <w:szCs w:val="18"/>
              </w:rPr>
            </w:pPr>
            <w:r w:rsidRPr="007D799C">
              <w:rPr>
                <w:bCs/>
                <w:sz w:val="18"/>
                <w:szCs w:val="18"/>
              </w:rPr>
              <w:t>Identifier les usagers qui souffrent d’insuffisance rénale sévère (</w:t>
            </w:r>
            <w:proofErr w:type="spellStart"/>
            <w:r w:rsidRPr="007D799C">
              <w:rPr>
                <w:bCs/>
                <w:sz w:val="18"/>
                <w:szCs w:val="18"/>
              </w:rPr>
              <w:t>ClCr</w:t>
            </w:r>
            <w:proofErr w:type="spellEnd"/>
            <w:r w:rsidRPr="007D799C">
              <w:rPr>
                <w:bCs/>
                <w:sz w:val="18"/>
                <w:szCs w:val="18"/>
              </w:rPr>
              <w:t xml:space="preserve"> inférieure à 10 </w:t>
            </w:r>
            <w:proofErr w:type="spellStart"/>
            <w:r w:rsidRPr="007D799C">
              <w:rPr>
                <w:bCs/>
                <w:sz w:val="18"/>
                <w:szCs w:val="18"/>
              </w:rPr>
              <w:t>mL</w:t>
            </w:r>
            <w:proofErr w:type="spellEnd"/>
            <w:r w:rsidRPr="007D799C">
              <w:rPr>
                <w:bCs/>
                <w:sz w:val="18"/>
                <w:szCs w:val="18"/>
              </w:rPr>
              <w:t xml:space="preserve">/min) et les usagers dialysés, pour chaque unité de soins. </w:t>
            </w:r>
          </w:p>
          <w:p w:rsidR="008C5442" w:rsidRPr="007D799C" w:rsidRDefault="008C5442" w:rsidP="00406A65">
            <w:pPr>
              <w:pStyle w:val="Puce2"/>
              <w:ind w:left="568" w:hanging="284"/>
              <w:rPr>
                <w:bCs/>
                <w:sz w:val="18"/>
                <w:szCs w:val="18"/>
              </w:rPr>
            </w:pPr>
            <w:r w:rsidRPr="007D799C">
              <w:rPr>
                <w:bCs/>
                <w:sz w:val="18"/>
                <w:szCs w:val="18"/>
              </w:rPr>
              <w:t>Rendre cette information disponible aux équipes de soins.</w:t>
            </w:r>
          </w:p>
          <w:p w:rsidR="008C5442" w:rsidRPr="007D799C" w:rsidRDefault="008C5442" w:rsidP="00406A65">
            <w:pPr>
              <w:pStyle w:val="Puce2"/>
              <w:ind w:left="568" w:hanging="284"/>
              <w:rPr>
                <w:bCs/>
                <w:sz w:val="18"/>
                <w:szCs w:val="18"/>
              </w:rPr>
            </w:pPr>
            <w:r w:rsidRPr="007D799C">
              <w:rPr>
                <w:bCs/>
                <w:sz w:val="18"/>
                <w:szCs w:val="18"/>
              </w:rPr>
              <w:t>Ajuster la dose d’</w:t>
            </w:r>
            <w:proofErr w:type="spellStart"/>
            <w:r w:rsidRPr="007D799C">
              <w:rPr>
                <w:bCs/>
                <w:sz w:val="18"/>
                <w:szCs w:val="18"/>
              </w:rPr>
              <w:t>oseltamivir</w:t>
            </w:r>
            <w:proofErr w:type="spellEnd"/>
            <w:r w:rsidRPr="007D799C">
              <w:rPr>
                <w:bCs/>
                <w:sz w:val="18"/>
                <w:szCs w:val="18"/>
              </w:rPr>
              <w:t xml:space="preserve"> en prophylaxie pour chacun de ces usagers.</w:t>
            </w:r>
          </w:p>
          <w:p w:rsidR="008C5442" w:rsidRPr="007D799C" w:rsidRDefault="008C5442" w:rsidP="00406A65">
            <w:pPr>
              <w:pStyle w:val="Puce1"/>
              <w:widowControl w:val="0"/>
              <w:autoSpaceDE w:val="0"/>
              <w:autoSpaceDN w:val="0"/>
              <w:spacing w:after="240" w:line="240" w:lineRule="auto"/>
              <w:ind w:left="284" w:hanging="284"/>
              <w:rPr>
                <w:bCs/>
                <w:sz w:val="18"/>
                <w:szCs w:val="18"/>
              </w:rPr>
            </w:pPr>
            <w:r w:rsidRPr="007D799C">
              <w:rPr>
                <w:bCs/>
                <w:sz w:val="18"/>
                <w:szCs w:val="18"/>
              </w:rPr>
              <w:t>Initier la prophylaxie à l’aide d’antiviraux</w:t>
            </w:r>
          </w:p>
          <w:p w:rsidR="008C5442" w:rsidRPr="00054625" w:rsidRDefault="008C5442" w:rsidP="00406A65">
            <w:pPr>
              <w:tabs>
                <w:tab w:val="left" w:pos="356"/>
                <w:tab w:val="left" w:pos="8789"/>
              </w:tabs>
              <w:spacing w:after="60"/>
              <w:jc w:val="both"/>
              <w:rPr>
                <w:b/>
                <w:bCs/>
                <w:color w:val="000000"/>
                <w:szCs w:val="18"/>
              </w:rPr>
            </w:pPr>
            <w:r w:rsidRPr="00054625">
              <w:rPr>
                <w:b/>
                <w:bCs/>
                <w:color w:val="000000"/>
                <w:szCs w:val="18"/>
              </w:rPr>
              <w:t>Directives pour la conseillère en PCI</w:t>
            </w:r>
          </w:p>
          <w:p w:rsidR="008C5442" w:rsidRPr="007D799C" w:rsidRDefault="008C5442" w:rsidP="00406A65">
            <w:pPr>
              <w:pStyle w:val="Puce1"/>
              <w:widowControl w:val="0"/>
              <w:autoSpaceDE w:val="0"/>
              <w:autoSpaceDN w:val="0"/>
              <w:spacing w:after="60" w:line="240" w:lineRule="auto"/>
              <w:ind w:left="284" w:hanging="284"/>
              <w:rPr>
                <w:bCs/>
                <w:sz w:val="18"/>
                <w:szCs w:val="18"/>
              </w:rPr>
            </w:pPr>
            <w:r w:rsidRPr="007D799C">
              <w:rPr>
                <w:bCs/>
                <w:sz w:val="18"/>
                <w:szCs w:val="18"/>
              </w:rPr>
              <w:t>Confirmer, auprès de toutes les instances concernées, une éclosion d’influenza de type A ou B, suite à la réception de deux résultats de prélèvements positifs.</w:t>
            </w:r>
          </w:p>
          <w:p w:rsidR="008C5442" w:rsidRPr="007D799C" w:rsidRDefault="008C5442" w:rsidP="00406A65">
            <w:pPr>
              <w:pStyle w:val="Puce1"/>
              <w:widowControl w:val="0"/>
              <w:autoSpaceDE w:val="0"/>
              <w:autoSpaceDN w:val="0"/>
              <w:spacing w:after="60" w:line="240" w:lineRule="auto"/>
              <w:ind w:left="284" w:hanging="284"/>
              <w:rPr>
                <w:bCs/>
                <w:sz w:val="18"/>
                <w:szCs w:val="18"/>
              </w:rPr>
            </w:pPr>
            <w:r w:rsidRPr="007D799C">
              <w:rPr>
                <w:bCs/>
                <w:sz w:val="18"/>
                <w:szCs w:val="18"/>
              </w:rPr>
              <w:t>Confirmer, à l’infirmière de l’unité de soins concernée, le statut d’éclosion.</w:t>
            </w:r>
          </w:p>
          <w:p w:rsidR="008C5442" w:rsidRPr="007D799C" w:rsidRDefault="008C5442" w:rsidP="00406A65">
            <w:pPr>
              <w:pStyle w:val="Puce1"/>
              <w:widowControl w:val="0"/>
              <w:autoSpaceDE w:val="0"/>
              <w:autoSpaceDN w:val="0"/>
              <w:spacing w:after="60" w:line="240" w:lineRule="auto"/>
              <w:ind w:left="284" w:hanging="284"/>
              <w:rPr>
                <w:bCs/>
                <w:sz w:val="18"/>
                <w:szCs w:val="18"/>
              </w:rPr>
            </w:pPr>
            <w:r w:rsidRPr="007D799C">
              <w:rPr>
                <w:bCs/>
                <w:sz w:val="18"/>
                <w:szCs w:val="18"/>
              </w:rPr>
              <w:t xml:space="preserve">Aviser directement le pharmacien du début et de la fin d’une éclosion d’influenza de type A ou B. </w:t>
            </w:r>
          </w:p>
          <w:p w:rsidR="008C5442" w:rsidRPr="007D799C" w:rsidRDefault="008C5442" w:rsidP="00406A65">
            <w:pPr>
              <w:pStyle w:val="Puce1"/>
              <w:widowControl w:val="0"/>
              <w:autoSpaceDE w:val="0"/>
              <w:autoSpaceDN w:val="0"/>
              <w:spacing w:after="60" w:line="240" w:lineRule="auto"/>
              <w:ind w:left="284" w:hanging="284"/>
              <w:rPr>
                <w:bCs/>
                <w:sz w:val="18"/>
                <w:szCs w:val="18"/>
              </w:rPr>
            </w:pPr>
            <w:r w:rsidRPr="007D799C">
              <w:rPr>
                <w:bCs/>
                <w:sz w:val="18"/>
                <w:szCs w:val="18"/>
              </w:rPr>
              <w:t>Soutenir, au besoin, l’infirmière de l’unité de soins en éclosion :</w:t>
            </w:r>
          </w:p>
          <w:p w:rsidR="008C5442" w:rsidRPr="007D799C" w:rsidRDefault="008C5442" w:rsidP="00406A65">
            <w:pPr>
              <w:pStyle w:val="Puce2"/>
              <w:spacing w:after="60"/>
              <w:ind w:left="568" w:hanging="284"/>
              <w:rPr>
                <w:sz w:val="18"/>
              </w:rPr>
            </w:pPr>
            <w:r w:rsidRPr="007D799C">
              <w:rPr>
                <w:sz w:val="18"/>
              </w:rPr>
              <w:t>Dans son évaluation pour l’administration d’une prophylaxie.</w:t>
            </w:r>
          </w:p>
          <w:p w:rsidR="008C5442" w:rsidRPr="007D799C" w:rsidRDefault="008C5442" w:rsidP="00406A65">
            <w:pPr>
              <w:pStyle w:val="Puce2"/>
              <w:spacing w:after="60"/>
              <w:ind w:left="568" w:hanging="284"/>
              <w:rPr>
                <w:sz w:val="18"/>
              </w:rPr>
            </w:pPr>
            <w:r w:rsidRPr="007D799C">
              <w:rPr>
                <w:sz w:val="18"/>
              </w:rPr>
              <w:t>Lorsqu’il y a nécessité de transfert d’une prophylaxie à un traitement.</w:t>
            </w:r>
          </w:p>
          <w:p w:rsidR="008C5442" w:rsidRPr="007D799C" w:rsidRDefault="008C5442" w:rsidP="00406A65">
            <w:pPr>
              <w:pStyle w:val="Puce2"/>
              <w:spacing w:after="60"/>
              <w:ind w:left="568" w:hanging="284"/>
              <w:rPr>
                <w:sz w:val="18"/>
              </w:rPr>
            </w:pPr>
            <w:r w:rsidRPr="007D799C">
              <w:rPr>
                <w:sz w:val="18"/>
              </w:rPr>
              <w:t>Lorsqu’il y a nécessité de débuter une prophylaxie à large échelle.</w:t>
            </w:r>
          </w:p>
          <w:p w:rsidR="008C5442" w:rsidRPr="007D799C" w:rsidRDefault="008C5442" w:rsidP="00406A65">
            <w:pPr>
              <w:pStyle w:val="Puce2"/>
              <w:ind w:left="568" w:hanging="284"/>
              <w:rPr>
                <w:sz w:val="18"/>
              </w:rPr>
            </w:pPr>
            <w:r w:rsidRPr="007D799C">
              <w:rPr>
                <w:sz w:val="18"/>
              </w:rPr>
              <w:t>Pour toute autre question pertinente au regard de l’éclosion en cours.</w:t>
            </w:r>
          </w:p>
          <w:p w:rsidR="008C5442" w:rsidRPr="007D799C" w:rsidRDefault="008C5442" w:rsidP="00406A65">
            <w:pPr>
              <w:pStyle w:val="Puce1"/>
              <w:widowControl w:val="0"/>
              <w:tabs>
                <w:tab w:val="left" w:pos="8789"/>
              </w:tabs>
              <w:autoSpaceDE w:val="0"/>
              <w:autoSpaceDN w:val="0"/>
              <w:spacing w:before="60" w:after="60" w:line="240" w:lineRule="auto"/>
              <w:ind w:left="284" w:hanging="284"/>
              <w:jc w:val="both"/>
              <w:rPr>
                <w:bCs/>
                <w:sz w:val="18"/>
                <w:szCs w:val="18"/>
              </w:rPr>
            </w:pPr>
            <w:r w:rsidRPr="007D799C">
              <w:rPr>
                <w:bCs/>
                <w:sz w:val="18"/>
                <w:szCs w:val="18"/>
              </w:rPr>
              <w:t>Communiquer avec le pharmacien lors de la levée d’une éclosion, lorsqu’une prophylaxie à large échelle a été débutée, afin que celui-ci cesse la prophylaxie en fonction de la date du début des symptômes du dernier cas de grippe.</w:t>
            </w:r>
          </w:p>
        </w:tc>
      </w:tr>
    </w:tbl>
    <w:p w:rsidR="008C5442" w:rsidRDefault="008C5442"/>
    <w:p w:rsidR="008C5442" w:rsidRDefault="008C5442">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C5442" w:rsidRPr="007D799C" w:rsidTr="00406A65">
        <w:trPr>
          <w:trHeight w:val="432"/>
        </w:trPr>
        <w:tc>
          <w:tcPr>
            <w:tcW w:w="5000" w:type="pct"/>
            <w:shd w:val="clear" w:color="auto" w:fill="auto"/>
          </w:tcPr>
          <w:p w:rsidR="008C5442" w:rsidRPr="00054625" w:rsidRDefault="008C5442" w:rsidP="00406A65">
            <w:pPr>
              <w:tabs>
                <w:tab w:val="left" w:pos="356"/>
                <w:tab w:val="left" w:pos="8789"/>
              </w:tabs>
              <w:spacing w:before="60" w:after="60"/>
              <w:jc w:val="both"/>
              <w:rPr>
                <w:b/>
                <w:bCs/>
                <w:color w:val="000000"/>
                <w:szCs w:val="18"/>
              </w:rPr>
            </w:pPr>
            <w:r w:rsidRPr="00054625">
              <w:rPr>
                <w:b/>
                <w:bCs/>
                <w:color w:val="000000"/>
                <w:szCs w:val="18"/>
              </w:rPr>
              <w:lastRenderedPageBreak/>
              <w:t>Directives pour le personnel infirmier</w:t>
            </w:r>
          </w:p>
          <w:p w:rsidR="008C5442" w:rsidRPr="007D799C" w:rsidRDefault="008C5442" w:rsidP="00406A65">
            <w:pPr>
              <w:pStyle w:val="Puce1"/>
              <w:widowControl w:val="0"/>
              <w:autoSpaceDE w:val="0"/>
              <w:autoSpaceDN w:val="0"/>
              <w:spacing w:after="60" w:line="240" w:lineRule="auto"/>
              <w:ind w:left="284" w:hanging="284"/>
              <w:rPr>
                <w:bCs/>
                <w:sz w:val="18"/>
                <w:szCs w:val="18"/>
              </w:rPr>
            </w:pPr>
            <w:r w:rsidRPr="007D799C">
              <w:rPr>
                <w:bCs/>
                <w:sz w:val="18"/>
                <w:szCs w:val="18"/>
              </w:rPr>
              <w:t>Initier, lorsque l’éclosion est confirmée par la conseillère en PCI, une prophylaxie pour les contacts étroits, et ce, le plus rapidement possible.</w:t>
            </w:r>
          </w:p>
          <w:p w:rsidR="008C5442" w:rsidRPr="007D799C" w:rsidRDefault="008C5442" w:rsidP="00406A65">
            <w:pPr>
              <w:pStyle w:val="Puce2"/>
              <w:spacing w:after="60"/>
              <w:ind w:left="568" w:hanging="284"/>
              <w:rPr>
                <w:bCs/>
                <w:sz w:val="18"/>
                <w:szCs w:val="18"/>
              </w:rPr>
            </w:pPr>
            <w:r w:rsidRPr="007D799C">
              <w:rPr>
                <w:bCs/>
                <w:sz w:val="18"/>
                <w:szCs w:val="18"/>
              </w:rPr>
              <w:t>Il est important d’utiliser la valeur de la clairance à la créatinine (</w:t>
            </w:r>
            <w:proofErr w:type="spellStart"/>
            <w:r w:rsidRPr="007D799C">
              <w:rPr>
                <w:bCs/>
                <w:sz w:val="18"/>
                <w:szCs w:val="18"/>
              </w:rPr>
              <w:t>ClCr</w:t>
            </w:r>
            <w:proofErr w:type="spellEnd"/>
            <w:r w:rsidRPr="007D799C">
              <w:rPr>
                <w:bCs/>
                <w:sz w:val="18"/>
                <w:szCs w:val="18"/>
              </w:rPr>
              <w:t>) inscrite sur la feuille d’administration des médicaments (FADM) de l’usager, et non pas la créatinine sérique.</w:t>
            </w:r>
          </w:p>
          <w:p w:rsidR="008C5442" w:rsidRPr="007D799C" w:rsidRDefault="008C5442" w:rsidP="00406A65">
            <w:pPr>
              <w:pStyle w:val="Puce2"/>
              <w:spacing w:after="240"/>
              <w:ind w:left="568" w:hanging="284"/>
              <w:rPr>
                <w:bCs/>
                <w:sz w:val="18"/>
                <w:szCs w:val="18"/>
              </w:rPr>
            </w:pPr>
            <w:r w:rsidRPr="007D799C">
              <w:rPr>
                <w:bCs/>
                <w:sz w:val="18"/>
                <w:szCs w:val="18"/>
              </w:rPr>
              <w:t xml:space="preserve">Acheminer le formulaire à la pharmacie, selon les directives qui y sont mentionnées. </w:t>
            </w:r>
          </w:p>
          <w:p w:rsidR="008C5442" w:rsidRPr="00054625" w:rsidRDefault="008C5442" w:rsidP="00406A65">
            <w:pPr>
              <w:tabs>
                <w:tab w:val="left" w:pos="356"/>
                <w:tab w:val="left" w:pos="8789"/>
              </w:tabs>
              <w:spacing w:after="60"/>
              <w:jc w:val="both"/>
              <w:rPr>
                <w:b/>
                <w:bCs/>
                <w:color w:val="000000"/>
                <w:szCs w:val="18"/>
              </w:rPr>
            </w:pPr>
            <w:r w:rsidRPr="00054625">
              <w:rPr>
                <w:b/>
                <w:bCs/>
                <w:color w:val="000000"/>
                <w:szCs w:val="18"/>
              </w:rPr>
              <w:t>Directives pour le pharmacien</w:t>
            </w:r>
          </w:p>
          <w:p w:rsidR="008C5442" w:rsidRPr="007D799C" w:rsidRDefault="008C5442" w:rsidP="00406A65">
            <w:pPr>
              <w:pStyle w:val="Puce1"/>
              <w:widowControl w:val="0"/>
              <w:autoSpaceDE w:val="0"/>
              <w:autoSpaceDN w:val="0"/>
              <w:spacing w:after="60" w:line="240" w:lineRule="auto"/>
              <w:ind w:left="284" w:hanging="284"/>
              <w:rPr>
                <w:rFonts w:ascii="Arial" w:hAnsi="Arial" w:cs="Arial"/>
                <w:sz w:val="18"/>
                <w:szCs w:val="18"/>
              </w:rPr>
            </w:pPr>
            <w:r w:rsidRPr="007D799C">
              <w:rPr>
                <w:rFonts w:ascii="Arial" w:hAnsi="Arial" w:cs="Arial"/>
                <w:sz w:val="18"/>
                <w:szCs w:val="18"/>
              </w:rPr>
              <w:t xml:space="preserve">Lorsqu’une prophylaxie antivirale à large échelle est débutée, elle devrait être maintenue jusqu’à dix jours après le début des symptômes du dernier cas. </w:t>
            </w:r>
          </w:p>
          <w:p w:rsidR="008C5442" w:rsidRPr="007D799C" w:rsidRDefault="008C5442" w:rsidP="00406A65">
            <w:pPr>
              <w:pStyle w:val="Puce1"/>
              <w:widowControl w:val="0"/>
              <w:autoSpaceDE w:val="0"/>
              <w:autoSpaceDN w:val="0"/>
              <w:spacing w:after="240" w:line="240" w:lineRule="auto"/>
              <w:ind w:left="284" w:hanging="284"/>
              <w:rPr>
                <w:bCs/>
                <w:sz w:val="18"/>
                <w:szCs w:val="18"/>
              </w:rPr>
            </w:pPr>
            <w:r w:rsidRPr="007D799C">
              <w:rPr>
                <w:bCs/>
                <w:sz w:val="18"/>
                <w:szCs w:val="18"/>
              </w:rPr>
              <w:t>Cesser, suite à la confirmation de la fin d’une éclosion, les traitements prophylactiques en cours sur l’unité concernée.</w:t>
            </w:r>
          </w:p>
          <w:p w:rsidR="008C5442" w:rsidRPr="00054625" w:rsidRDefault="008C5442" w:rsidP="00406A65">
            <w:pPr>
              <w:tabs>
                <w:tab w:val="left" w:pos="356"/>
                <w:tab w:val="left" w:pos="8789"/>
              </w:tabs>
              <w:spacing w:after="60"/>
              <w:jc w:val="both"/>
              <w:rPr>
                <w:b/>
                <w:bCs/>
                <w:color w:val="000000"/>
                <w:szCs w:val="18"/>
              </w:rPr>
            </w:pPr>
            <w:r w:rsidRPr="00054625">
              <w:rPr>
                <w:b/>
                <w:bCs/>
                <w:color w:val="000000"/>
                <w:szCs w:val="18"/>
              </w:rPr>
              <w:t>Particularités</w:t>
            </w:r>
          </w:p>
          <w:p w:rsidR="008C5442" w:rsidRPr="007D799C" w:rsidRDefault="008C5442" w:rsidP="00406A65">
            <w:pPr>
              <w:pStyle w:val="Puce1"/>
              <w:widowControl w:val="0"/>
              <w:autoSpaceDE w:val="0"/>
              <w:autoSpaceDN w:val="0"/>
              <w:spacing w:after="60" w:line="240" w:lineRule="auto"/>
              <w:ind w:left="284" w:hanging="284"/>
              <w:rPr>
                <w:rFonts w:ascii="Arial" w:hAnsi="Arial" w:cs="Arial"/>
                <w:sz w:val="18"/>
                <w:szCs w:val="18"/>
              </w:rPr>
            </w:pPr>
            <w:r w:rsidRPr="007D799C">
              <w:rPr>
                <w:rFonts w:ascii="Arial" w:hAnsi="Arial" w:cs="Arial"/>
                <w:sz w:val="18"/>
                <w:szCs w:val="18"/>
              </w:rPr>
              <w:t>Offrir la prophylaxie antivirale à l’ensemble des usagers asymptomatiques visés, vaccinés ou non, si non débutée.</w:t>
            </w:r>
          </w:p>
          <w:p w:rsidR="008C5442" w:rsidRPr="007D799C" w:rsidRDefault="008C5442" w:rsidP="00406A65">
            <w:pPr>
              <w:pStyle w:val="Puce1"/>
              <w:widowControl w:val="0"/>
              <w:autoSpaceDE w:val="0"/>
              <w:autoSpaceDN w:val="0"/>
              <w:spacing w:after="60" w:line="240" w:lineRule="auto"/>
              <w:ind w:left="284" w:hanging="284"/>
              <w:rPr>
                <w:bCs/>
                <w:sz w:val="18"/>
                <w:szCs w:val="18"/>
              </w:rPr>
            </w:pPr>
            <w:r w:rsidRPr="007D799C">
              <w:rPr>
                <w:bCs/>
                <w:sz w:val="18"/>
                <w:szCs w:val="18"/>
              </w:rPr>
              <w:t>Advenant le cas où un usager développerait des symptômes de SAG pendant qu’il est sous prophylaxie, l’infirmière devra en aviser :</w:t>
            </w:r>
          </w:p>
          <w:p w:rsidR="008C5442" w:rsidRPr="007D799C" w:rsidRDefault="008C5442" w:rsidP="00406A65">
            <w:pPr>
              <w:pStyle w:val="Puce2"/>
              <w:spacing w:after="0"/>
              <w:ind w:left="568" w:hanging="284"/>
              <w:rPr>
                <w:b/>
                <w:bCs/>
                <w:sz w:val="18"/>
                <w:szCs w:val="18"/>
              </w:rPr>
            </w:pPr>
            <w:r w:rsidRPr="007D799C">
              <w:rPr>
                <w:bCs/>
                <w:sz w:val="18"/>
                <w:szCs w:val="18"/>
              </w:rPr>
              <w:t>Le médecin répondant afin d’obtenir une ordonnance de traitement.</w:t>
            </w:r>
          </w:p>
        </w:tc>
      </w:tr>
      <w:tr w:rsidR="008C5442" w:rsidRPr="007D799C" w:rsidTr="00406A65">
        <w:trPr>
          <w:trHeight w:val="590"/>
        </w:trPr>
        <w:tc>
          <w:tcPr>
            <w:tcW w:w="5000" w:type="pct"/>
            <w:shd w:val="clear" w:color="auto" w:fill="auto"/>
          </w:tcPr>
          <w:p w:rsidR="008C5442" w:rsidRPr="007D799C" w:rsidRDefault="008C5442" w:rsidP="00406A65">
            <w:pPr>
              <w:tabs>
                <w:tab w:val="left" w:pos="8789"/>
              </w:tabs>
              <w:spacing w:before="60" w:after="60"/>
              <w:jc w:val="both"/>
              <w:rPr>
                <w:b/>
                <w:bCs/>
                <w:szCs w:val="18"/>
              </w:rPr>
            </w:pPr>
            <w:r w:rsidRPr="007D799C">
              <w:rPr>
                <w:b/>
                <w:bCs/>
                <w:szCs w:val="18"/>
              </w:rPr>
              <w:t>Médecin répondant</w:t>
            </w:r>
          </w:p>
          <w:p w:rsidR="008C5442" w:rsidRPr="007D799C" w:rsidRDefault="008C5442" w:rsidP="00406A65">
            <w:pPr>
              <w:tabs>
                <w:tab w:val="left" w:pos="8789"/>
              </w:tabs>
              <w:spacing w:before="60" w:after="60"/>
              <w:jc w:val="both"/>
              <w:rPr>
                <w:bCs/>
                <w:szCs w:val="18"/>
              </w:rPr>
            </w:pPr>
            <w:r w:rsidRPr="007D799C">
              <w:rPr>
                <w:bCs/>
                <w:szCs w:val="18"/>
              </w:rPr>
              <w:t xml:space="preserve">En cas de problème ou pour toute autre question sur l’application de l’ordonnance collective, le professionnel se réfère au médecin traitant ou au médecin de garde. </w:t>
            </w:r>
          </w:p>
        </w:tc>
      </w:tr>
      <w:tr w:rsidR="008C5442" w:rsidRPr="007D799C" w:rsidTr="00406A65">
        <w:trPr>
          <w:trHeight w:val="432"/>
        </w:trPr>
        <w:tc>
          <w:tcPr>
            <w:tcW w:w="5000" w:type="pct"/>
            <w:shd w:val="clear" w:color="auto" w:fill="auto"/>
          </w:tcPr>
          <w:p w:rsidR="008C5442" w:rsidRPr="007D799C" w:rsidRDefault="008C5442" w:rsidP="00406A65">
            <w:pPr>
              <w:tabs>
                <w:tab w:val="left" w:pos="8789"/>
              </w:tabs>
              <w:spacing w:before="60" w:after="60"/>
              <w:jc w:val="both"/>
              <w:rPr>
                <w:b/>
                <w:bCs/>
                <w:szCs w:val="18"/>
              </w:rPr>
            </w:pPr>
            <w:r w:rsidRPr="007D799C">
              <w:rPr>
                <w:b/>
                <w:bCs/>
                <w:szCs w:val="18"/>
              </w:rPr>
              <w:t xml:space="preserve">Référence </w:t>
            </w:r>
          </w:p>
        </w:tc>
      </w:tr>
    </w:tbl>
    <w:p w:rsidR="008C5442" w:rsidRPr="00424777" w:rsidRDefault="008C5442" w:rsidP="008C5442">
      <w:pPr>
        <w:tabs>
          <w:tab w:val="right" w:pos="14317"/>
        </w:tabs>
        <w:spacing w:before="120" w:after="240"/>
        <w:jc w:val="both"/>
        <w:rPr>
          <w:sz w:val="20"/>
          <w:u w:val="single"/>
          <w:lang w:val="fr-FR"/>
        </w:rPr>
      </w:pPr>
      <w:r w:rsidRPr="00F849B3">
        <w:rPr>
          <w:sz w:val="20"/>
          <w:lang w:val="fr-FR"/>
        </w:rPr>
        <w:t>Élaborée par</w:t>
      </w:r>
      <w:r>
        <w:rPr>
          <w:sz w:val="20"/>
          <w:lang w:val="fr-FR"/>
        </w:rPr>
        <w:t xml:space="preserve"> </w:t>
      </w:r>
      <w:r>
        <w:rPr>
          <w:sz w:val="20"/>
          <w:u w:val="single"/>
          <w:lang w:val="fr-FR"/>
        </w:rPr>
        <w:tab/>
      </w:r>
    </w:p>
    <w:p w:rsidR="008C5442" w:rsidRPr="00424777" w:rsidRDefault="008C5442" w:rsidP="008C5442">
      <w:pPr>
        <w:pStyle w:val="En-tte"/>
        <w:tabs>
          <w:tab w:val="clear" w:pos="9406"/>
          <w:tab w:val="right" w:pos="10773"/>
          <w:tab w:val="right" w:pos="14317"/>
        </w:tabs>
        <w:spacing w:before="120" w:after="240" w:line="20" w:lineRule="atLeast"/>
        <w:rPr>
          <w:sz w:val="20"/>
          <w:u w:val="single"/>
        </w:rPr>
      </w:pPr>
      <w:r w:rsidRPr="00F849B3">
        <w:rPr>
          <w:sz w:val="20"/>
          <w:szCs w:val="20"/>
        </w:rPr>
        <w:t>Personnes consultées</w:t>
      </w:r>
      <w:r>
        <w:rPr>
          <w:sz w:val="20"/>
          <w:szCs w:val="20"/>
        </w:rPr>
        <w:t xml:space="preserve"> </w:t>
      </w:r>
      <w:r>
        <w:rPr>
          <w:sz w:val="20"/>
          <w:szCs w:val="20"/>
          <w:u w:val="single"/>
        </w:rPr>
        <w:tab/>
      </w:r>
      <w:r>
        <w:rPr>
          <w:sz w:val="20"/>
          <w:szCs w:val="20"/>
          <w:u w:val="single"/>
        </w:rPr>
        <w:tab/>
      </w:r>
    </w:p>
    <w:p w:rsidR="008C5442" w:rsidRPr="00424777" w:rsidRDefault="008C5442" w:rsidP="008C5442">
      <w:pPr>
        <w:tabs>
          <w:tab w:val="right" w:pos="14317"/>
        </w:tabs>
        <w:spacing w:after="240"/>
        <w:jc w:val="both"/>
        <w:rPr>
          <w:sz w:val="20"/>
          <w:szCs w:val="20"/>
          <w:u w:val="single"/>
        </w:rPr>
      </w:pPr>
      <w:r w:rsidRPr="00F849B3">
        <w:rPr>
          <w:sz w:val="20"/>
          <w:szCs w:val="20"/>
        </w:rPr>
        <w:t>Validée par</w:t>
      </w:r>
      <w:r>
        <w:rPr>
          <w:sz w:val="20"/>
          <w:szCs w:val="20"/>
        </w:rPr>
        <w:t xml:space="preserve"> </w:t>
      </w:r>
      <w:r>
        <w:rPr>
          <w:sz w:val="20"/>
          <w:szCs w:val="20"/>
          <w:u w:val="single"/>
        </w:rPr>
        <w:tab/>
      </w:r>
    </w:p>
    <w:p w:rsidR="008C5442" w:rsidRDefault="008C5442" w:rsidP="008C5442">
      <w:pPr>
        <w:tabs>
          <w:tab w:val="right" w:pos="14317"/>
        </w:tabs>
        <w:jc w:val="both"/>
      </w:pPr>
      <w:r w:rsidRPr="00F849B3">
        <w:rPr>
          <w:sz w:val="20"/>
          <w:szCs w:val="20"/>
        </w:rPr>
        <w:t>Approuvée par</w:t>
      </w:r>
      <w:r>
        <w:rPr>
          <w:sz w:val="20"/>
          <w:szCs w:val="20"/>
          <w:u w:val="single"/>
        </w:rPr>
        <w:tab/>
      </w:r>
    </w:p>
    <w:sectPr w:rsidR="008C5442" w:rsidSect="00E2725F">
      <w:headerReference w:type="even" r:id="rId11"/>
      <w:headerReference w:type="default" r:id="rId12"/>
      <w:pgSz w:w="12240" w:h="15840"/>
      <w:pgMar w:top="1418" w:right="720" w:bottom="1134"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BA2" w:rsidRDefault="00054BA2" w:rsidP="00054BA2">
      <w:pPr>
        <w:spacing w:after="0" w:line="240" w:lineRule="auto"/>
      </w:pPr>
      <w:r>
        <w:separator/>
      </w:r>
    </w:p>
  </w:endnote>
  <w:endnote w:type="continuationSeparator" w:id="0">
    <w:p w:rsidR="00054BA2" w:rsidRDefault="00054BA2" w:rsidP="0005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Raleway">
    <w:panose1 w:val="020B0003030101060003"/>
    <w:charset w:val="00"/>
    <w:family w:val="swiss"/>
    <w:notTrueType/>
    <w:pitch w:val="variable"/>
    <w:sig w:usb0="A00000BF"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42" w:rsidRDefault="008C5442" w:rsidP="008C5442">
    <w:pPr>
      <w:pStyle w:val="Pieddepage"/>
      <w:tabs>
        <w:tab w:val="clear" w:pos="4703"/>
        <w:tab w:val="clear" w:pos="9406"/>
        <w:tab w:val="right" w:pos="10773"/>
      </w:tabs>
    </w:pPr>
    <w:r w:rsidRPr="008C5442">
      <w:rPr>
        <w:sz w:val="16"/>
      </w:rPr>
      <w:fldChar w:fldCharType="begin"/>
    </w:r>
    <w:r w:rsidRPr="008C5442">
      <w:rPr>
        <w:sz w:val="16"/>
      </w:rPr>
      <w:instrText>PAGE   \* MERGEFORMAT</w:instrText>
    </w:r>
    <w:r w:rsidRPr="008C5442">
      <w:rPr>
        <w:sz w:val="16"/>
      </w:rPr>
      <w:fldChar w:fldCharType="separate"/>
    </w:r>
    <w:r w:rsidR="00E2725F" w:rsidRPr="00E2725F">
      <w:rPr>
        <w:noProof/>
        <w:sz w:val="16"/>
        <w:lang w:val="fr-FR"/>
      </w:rPr>
      <w:t>2</w:t>
    </w:r>
    <w:r w:rsidRPr="008C5442">
      <w:rPr>
        <w:sz w:val="16"/>
      </w:rPr>
      <w:fldChar w:fldCharType="end"/>
    </w:r>
    <w:r>
      <w:rPr>
        <w:sz w:val="16"/>
      </w:rPr>
      <w:tab/>
    </w:r>
    <w:r w:rsidRPr="008C5442">
      <w:rPr>
        <w:sz w:val="16"/>
      </w:rPr>
      <w:t>Institut national de santé publique du Québec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42" w:rsidRPr="008C5442" w:rsidRDefault="008C5442" w:rsidP="008C5442">
    <w:pPr>
      <w:pStyle w:val="Pieddepage"/>
      <w:tabs>
        <w:tab w:val="clear" w:pos="4703"/>
        <w:tab w:val="clear" w:pos="9406"/>
        <w:tab w:val="right" w:pos="10773"/>
      </w:tabs>
      <w:rPr>
        <w:sz w:val="16"/>
      </w:rPr>
    </w:pPr>
    <w:r w:rsidRPr="008C5442">
      <w:rPr>
        <w:sz w:val="16"/>
      </w:rPr>
      <w:t>Institut national de santé publique du Québec</w:t>
    </w:r>
    <w:r w:rsidRPr="008C5442">
      <w:rPr>
        <w:sz w:val="16"/>
      </w:rPr>
      <w:tab/>
    </w:r>
    <w:r w:rsidRPr="008C5442">
      <w:rPr>
        <w:sz w:val="16"/>
      </w:rPr>
      <w:fldChar w:fldCharType="begin"/>
    </w:r>
    <w:r w:rsidRPr="008C5442">
      <w:rPr>
        <w:sz w:val="16"/>
      </w:rPr>
      <w:instrText>PAGE   \* MERGEFORMAT</w:instrText>
    </w:r>
    <w:r w:rsidRPr="008C5442">
      <w:rPr>
        <w:sz w:val="16"/>
      </w:rPr>
      <w:fldChar w:fldCharType="separate"/>
    </w:r>
    <w:r w:rsidR="00E2725F" w:rsidRPr="00E2725F">
      <w:rPr>
        <w:noProof/>
        <w:sz w:val="16"/>
        <w:lang w:val="fr-FR"/>
      </w:rPr>
      <w:t>4</w:t>
    </w:r>
    <w:r w:rsidRPr="008C5442">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BA2" w:rsidRDefault="00054BA2" w:rsidP="00054BA2">
      <w:pPr>
        <w:spacing w:after="0" w:line="240" w:lineRule="auto"/>
      </w:pPr>
      <w:r>
        <w:separator/>
      </w:r>
    </w:p>
  </w:footnote>
  <w:footnote w:type="continuationSeparator" w:id="0">
    <w:p w:rsidR="00054BA2" w:rsidRDefault="00054BA2" w:rsidP="00054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42" w:rsidRDefault="008C5442" w:rsidP="008C5442">
    <w:pPr>
      <w:pStyle w:val="En-tte"/>
    </w:pPr>
    <w:r w:rsidRPr="00B15B26">
      <w:t>Mesures de prévention et de contrôle des virus respiratoires, incluant l’influenza, dans les milieux de soins</w:t>
    </w:r>
    <w:r>
      <w:t xml:space="preserve"> : </w:t>
    </w:r>
    <w:r>
      <w:br/>
      <w:t xml:space="preserve">ordonnance collective – </w:t>
    </w:r>
    <w:r w:rsidR="00543E3D">
      <w:t>I</w:t>
    </w:r>
    <w:r>
      <w:t>nitier une prophylaxie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A2" w:rsidRDefault="00054BA2" w:rsidP="008C5442">
    <w:pPr>
      <w:pStyle w:val="En-tte"/>
      <w:jc w:val="right"/>
    </w:pPr>
    <w:r w:rsidRPr="00B15B26">
      <w:t>Mesures de prévention et de contrôle des virus respiratoires, incluant l’influenza, dans les milieux de soins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3D" w:rsidRDefault="00543E3D" w:rsidP="008C5442">
    <w:pPr>
      <w:pStyle w:val="En-tte"/>
    </w:pPr>
    <w:r w:rsidRPr="00B15B26">
      <w:t>Mesures de prévention et de contrôle des virus respiratoires, incluant l’influenza, dans les milieux de soins</w:t>
    </w:r>
    <w:r>
      <w:t xml:space="preserve"> : </w:t>
    </w:r>
    <w:r>
      <w:br/>
      <w:t>ordonnance collective – Initier une prophylaxie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3D" w:rsidRDefault="00543E3D" w:rsidP="008C5442">
    <w:pPr>
      <w:pStyle w:val="En-tte"/>
      <w:jc w:val="right"/>
    </w:pPr>
    <w:r w:rsidRPr="00B15B26">
      <w:t>Mesures de prévention et de contrôle des virus respiratoires, incluant l’influenza, dans les milieux de soins</w:t>
    </w:r>
    <w:r>
      <w:t> </w:t>
    </w:r>
    <w:proofErr w:type="gramStart"/>
    <w:r>
      <w:t>:</w:t>
    </w:r>
    <w:proofErr w:type="gramEnd"/>
    <w:r>
      <w:br/>
    </w:r>
    <w:r>
      <w:t>ordonnance collective – Initier une prophylaxie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97B"/>
    <w:multiLevelType w:val="hybridMultilevel"/>
    <w:tmpl w:val="069AA1CE"/>
    <w:lvl w:ilvl="0" w:tplc="E3700286">
      <w:start w:val="1"/>
      <w:numFmt w:val="decimal"/>
      <w:lvlText w:val="%1."/>
      <w:lvlJc w:val="left"/>
      <w:pPr>
        <w:ind w:left="424" w:hanging="317"/>
      </w:pPr>
      <w:rPr>
        <w:rFonts w:ascii="Arial" w:eastAsia="Arial" w:hAnsi="Arial" w:cs="Arial" w:hint="default"/>
        <w:spacing w:val="-1"/>
        <w:w w:val="99"/>
        <w:sz w:val="20"/>
        <w:szCs w:val="20"/>
      </w:rPr>
    </w:lvl>
    <w:lvl w:ilvl="1" w:tplc="0AD26548">
      <w:numFmt w:val="bullet"/>
      <w:lvlText w:val="•"/>
      <w:lvlJc w:val="left"/>
      <w:pPr>
        <w:ind w:left="1326" w:hanging="317"/>
      </w:pPr>
      <w:rPr>
        <w:rFonts w:hint="default"/>
      </w:rPr>
    </w:lvl>
    <w:lvl w:ilvl="2" w:tplc="FA0407EE">
      <w:numFmt w:val="bullet"/>
      <w:lvlText w:val="•"/>
      <w:lvlJc w:val="left"/>
      <w:pPr>
        <w:ind w:left="2233" w:hanging="317"/>
      </w:pPr>
      <w:rPr>
        <w:rFonts w:hint="default"/>
      </w:rPr>
    </w:lvl>
    <w:lvl w:ilvl="3" w:tplc="B822A3E8">
      <w:numFmt w:val="bullet"/>
      <w:lvlText w:val="•"/>
      <w:lvlJc w:val="left"/>
      <w:pPr>
        <w:ind w:left="3140" w:hanging="317"/>
      </w:pPr>
      <w:rPr>
        <w:rFonts w:hint="default"/>
      </w:rPr>
    </w:lvl>
    <w:lvl w:ilvl="4" w:tplc="6F90819E">
      <w:numFmt w:val="bullet"/>
      <w:lvlText w:val="•"/>
      <w:lvlJc w:val="left"/>
      <w:pPr>
        <w:ind w:left="4047" w:hanging="317"/>
      </w:pPr>
      <w:rPr>
        <w:rFonts w:hint="default"/>
      </w:rPr>
    </w:lvl>
    <w:lvl w:ilvl="5" w:tplc="2CD2CBC6">
      <w:numFmt w:val="bullet"/>
      <w:lvlText w:val="•"/>
      <w:lvlJc w:val="left"/>
      <w:pPr>
        <w:ind w:left="4954" w:hanging="317"/>
      </w:pPr>
      <w:rPr>
        <w:rFonts w:hint="default"/>
      </w:rPr>
    </w:lvl>
    <w:lvl w:ilvl="6" w:tplc="E8E417A8">
      <w:numFmt w:val="bullet"/>
      <w:lvlText w:val="•"/>
      <w:lvlJc w:val="left"/>
      <w:pPr>
        <w:ind w:left="5861" w:hanging="317"/>
      </w:pPr>
      <w:rPr>
        <w:rFonts w:hint="default"/>
      </w:rPr>
    </w:lvl>
    <w:lvl w:ilvl="7" w:tplc="CAF2359E">
      <w:numFmt w:val="bullet"/>
      <w:lvlText w:val="•"/>
      <w:lvlJc w:val="left"/>
      <w:pPr>
        <w:ind w:left="6768" w:hanging="317"/>
      </w:pPr>
      <w:rPr>
        <w:rFonts w:hint="default"/>
      </w:rPr>
    </w:lvl>
    <w:lvl w:ilvl="8" w:tplc="482ACF5A">
      <w:numFmt w:val="bullet"/>
      <w:lvlText w:val="•"/>
      <w:lvlJc w:val="left"/>
      <w:pPr>
        <w:ind w:left="7675" w:hanging="317"/>
      </w:pPr>
      <w:rPr>
        <w:rFonts w:hint="default"/>
      </w:rPr>
    </w:lvl>
  </w:abstractNum>
  <w:abstractNum w:abstractNumId="1" w15:restartNumberingAfterBreak="0">
    <w:nsid w:val="47F13326"/>
    <w:multiLevelType w:val="hybridMultilevel"/>
    <w:tmpl w:val="E20C9802"/>
    <w:lvl w:ilvl="0" w:tplc="713ECD82">
      <w:start w:val="1"/>
      <w:numFmt w:val="bullet"/>
      <w:pStyle w:val="Puce2"/>
      <w:lvlText w:val=""/>
      <w:lvlJc w:val="left"/>
      <w:pPr>
        <w:ind w:left="720" w:hanging="360"/>
      </w:pPr>
      <w:rPr>
        <w:rFonts w:ascii="Wingdings" w:hAnsi="Wingdings" w:hint="default"/>
        <w:color w:val="EF7516"/>
        <w:sz w:val="22"/>
        <w:u w:color="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A43E99"/>
    <w:multiLevelType w:val="hybridMultilevel"/>
    <w:tmpl w:val="74960DBC"/>
    <w:lvl w:ilvl="0" w:tplc="E8162A9C">
      <w:start w:val="1"/>
      <w:numFmt w:val="bullet"/>
      <w:pStyle w:val="Puce1"/>
      <w:lvlText w:val=""/>
      <w:lvlJc w:val="left"/>
      <w:pPr>
        <w:ind w:left="720" w:hanging="360"/>
      </w:pPr>
      <w:rPr>
        <w:rFonts w:ascii="Wingdings" w:hAnsi="Wingdings" w:hint="default"/>
        <w:color w:val="EF7516"/>
        <w:sz w:val="22"/>
        <w:u w:color="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A2"/>
    <w:rsid w:val="000541C3"/>
    <w:rsid w:val="00054BA2"/>
    <w:rsid w:val="004A5F78"/>
    <w:rsid w:val="00543E3D"/>
    <w:rsid w:val="0062138F"/>
    <w:rsid w:val="008C5442"/>
    <w:rsid w:val="00BA36C1"/>
    <w:rsid w:val="00DC1EA5"/>
    <w:rsid w:val="00E074B4"/>
    <w:rsid w:val="00E272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5EBB30-BBCF-48F4-A2B8-F501A7B0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5F78"/>
    <w:pPr>
      <w:spacing w:after="160" w:line="259" w:lineRule="auto"/>
    </w:pPr>
    <w:rPr>
      <w:rFonts w:ascii="HelveticaNeueLT Std" w:hAnsi="HelveticaNeueLT Std"/>
      <w:sz w:val="18"/>
    </w:rPr>
  </w:style>
  <w:style w:type="paragraph" w:styleId="Titre1">
    <w:name w:val="heading 1"/>
    <w:basedOn w:val="Normal"/>
    <w:next w:val="Normal"/>
    <w:link w:val="Titre1Car"/>
    <w:uiPriority w:val="9"/>
    <w:rsid w:val="00054BA2"/>
    <w:pPr>
      <w:keepNext/>
      <w:keepLines/>
      <w:spacing w:after="240" w:line="240" w:lineRule="auto"/>
      <w:outlineLvl w:val="0"/>
    </w:pPr>
    <w:rPr>
      <w:rFonts w:ascii="Raleway" w:eastAsiaTheme="majorEastAsia" w:hAnsi="Raleway" w:cstheme="majorBidi"/>
      <w:b/>
      <w:bCs/>
      <w:color w:val="EF7516"/>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54BA2"/>
    <w:pPr>
      <w:tabs>
        <w:tab w:val="center" w:pos="4703"/>
        <w:tab w:val="right" w:pos="9406"/>
      </w:tabs>
      <w:spacing w:after="0" w:line="240" w:lineRule="auto"/>
    </w:pPr>
  </w:style>
  <w:style w:type="character" w:customStyle="1" w:styleId="En-tteCar">
    <w:name w:val="En-tête Car"/>
    <w:basedOn w:val="Policepardfaut"/>
    <w:link w:val="En-tte"/>
    <w:uiPriority w:val="99"/>
    <w:rsid w:val="00054BA2"/>
    <w:rPr>
      <w:rFonts w:ascii="HelveticaNeueLT Std" w:hAnsi="HelveticaNeueLT Std"/>
      <w:sz w:val="18"/>
    </w:rPr>
  </w:style>
  <w:style w:type="paragraph" w:styleId="Pieddepage">
    <w:name w:val="footer"/>
    <w:basedOn w:val="Normal"/>
    <w:link w:val="PieddepageCar"/>
    <w:uiPriority w:val="99"/>
    <w:unhideWhenUsed/>
    <w:rsid w:val="00054BA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54BA2"/>
    <w:rPr>
      <w:rFonts w:ascii="HelveticaNeueLT Std" w:hAnsi="HelveticaNeueLT Std"/>
      <w:sz w:val="18"/>
    </w:rPr>
  </w:style>
  <w:style w:type="character" w:customStyle="1" w:styleId="Titre1Car">
    <w:name w:val="Titre 1 Car"/>
    <w:basedOn w:val="Policepardfaut"/>
    <w:link w:val="Titre1"/>
    <w:uiPriority w:val="9"/>
    <w:rsid w:val="00054BA2"/>
    <w:rPr>
      <w:rFonts w:ascii="Raleway" w:eastAsiaTheme="majorEastAsia" w:hAnsi="Raleway" w:cstheme="majorBidi"/>
      <w:b/>
      <w:bCs/>
      <w:color w:val="EF7516"/>
      <w:sz w:val="32"/>
      <w:szCs w:val="28"/>
    </w:rPr>
  </w:style>
  <w:style w:type="table" w:customStyle="1" w:styleId="TableNormal">
    <w:name w:val="Table Normal"/>
    <w:uiPriority w:val="2"/>
    <w:semiHidden/>
    <w:unhideWhenUsed/>
    <w:qFormat/>
    <w:rsid w:val="00054BA2"/>
    <w:pPr>
      <w:widowControl w:val="0"/>
      <w:autoSpaceDE w:val="0"/>
      <w:autoSpaceDN w:val="0"/>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4BA2"/>
    <w:pPr>
      <w:widowControl w:val="0"/>
      <w:autoSpaceDE w:val="0"/>
      <w:autoSpaceDN w:val="0"/>
      <w:spacing w:after="0" w:line="240" w:lineRule="auto"/>
      <w:ind w:left="69"/>
    </w:pPr>
    <w:rPr>
      <w:rFonts w:ascii="Arial" w:eastAsia="Arial" w:hAnsi="Arial" w:cs="Arial"/>
      <w:sz w:val="22"/>
      <w:lang w:val="en-US"/>
    </w:rPr>
  </w:style>
  <w:style w:type="paragraph" w:customStyle="1" w:styleId="Puce1">
    <w:name w:val="Puce 1"/>
    <w:basedOn w:val="Corpsdetexte"/>
    <w:qFormat/>
    <w:rsid w:val="00054BA2"/>
    <w:pPr>
      <w:numPr>
        <w:numId w:val="1"/>
      </w:numPr>
      <w:spacing w:line="264" w:lineRule="auto"/>
    </w:pPr>
    <w:rPr>
      <w:sz w:val="20"/>
    </w:rPr>
  </w:style>
  <w:style w:type="paragraph" w:styleId="Corpsdetexte">
    <w:name w:val="Body Text"/>
    <w:basedOn w:val="Normal"/>
    <w:link w:val="CorpsdetexteCar"/>
    <w:uiPriority w:val="99"/>
    <w:semiHidden/>
    <w:unhideWhenUsed/>
    <w:rsid w:val="00054BA2"/>
    <w:pPr>
      <w:spacing w:after="120"/>
    </w:pPr>
  </w:style>
  <w:style w:type="character" w:customStyle="1" w:styleId="CorpsdetexteCar">
    <w:name w:val="Corps de texte Car"/>
    <w:basedOn w:val="Policepardfaut"/>
    <w:link w:val="Corpsdetexte"/>
    <w:uiPriority w:val="99"/>
    <w:semiHidden/>
    <w:rsid w:val="00054BA2"/>
    <w:rPr>
      <w:rFonts w:ascii="HelveticaNeueLT Std" w:hAnsi="HelveticaNeueLT Std"/>
      <w:sz w:val="18"/>
    </w:rPr>
  </w:style>
  <w:style w:type="paragraph" w:customStyle="1" w:styleId="Puce2">
    <w:name w:val="Puce2"/>
    <w:basedOn w:val="Puce1"/>
    <w:rsid w:val="008C544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1116</Words>
  <Characters>6144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INSPQ</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St-Onge</dc:creator>
  <cp:keywords/>
  <dc:description/>
  <cp:lastModifiedBy>Isabelle Gignac</cp:lastModifiedBy>
  <cp:revision>6</cp:revision>
  <dcterms:created xsi:type="dcterms:W3CDTF">2018-11-23T14:50:00Z</dcterms:created>
  <dcterms:modified xsi:type="dcterms:W3CDTF">2018-12-03T15:03:00Z</dcterms:modified>
</cp:coreProperties>
</file>