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BA2" w:rsidRPr="008E06C1" w:rsidRDefault="00054BA2" w:rsidP="00054BA2">
      <w:pPr>
        <w:pStyle w:val="Titre1"/>
      </w:pPr>
      <w:r w:rsidRPr="008E06C1">
        <w:t xml:space="preserve">Ordonnance collective : </w:t>
      </w:r>
      <w:r w:rsidRPr="00F109A0">
        <w:t>Demander ou initier un prélèvement nasopharyngé pour la recherche</w:t>
      </w:r>
      <w:r w:rsidRPr="008E06C1">
        <w:t xml:space="preserve"> </w:t>
      </w:r>
      <w:r w:rsidRPr="00F109A0">
        <w:t>d’influenza ou autres virus respiratoires</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657"/>
        <w:gridCol w:w="1290"/>
        <w:gridCol w:w="1369"/>
        <w:gridCol w:w="5484"/>
      </w:tblGrid>
      <w:tr w:rsidR="00054BA2" w:rsidRPr="00554157" w:rsidTr="00406A65">
        <w:trPr>
          <w:trHeight w:val="510"/>
        </w:trPr>
        <w:tc>
          <w:tcPr>
            <w:tcW w:w="2461" w:type="pct"/>
            <w:gridSpan w:val="3"/>
            <w:tcBorders>
              <w:top w:val="nil"/>
              <w:left w:val="nil"/>
              <w:right w:val="nil"/>
            </w:tcBorders>
            <w:vAlign w:val="center"/>
          </w:tcPr>
          <w:p w:rsidR="00054BA2" w:rsidRPr="00554157" w:rsidRDefault="00054BA2" w:rsidP="00406A65">
            <w:pPr>
              <w:pStyle w:val="TableParagraph"/>
              <w:ind w:left="68"/>
              <w:rPr>
                <w:rFonts w:ascii="HelveticaNeueLT Std" w:hAnsi="HelveticaNeueLT Std"/>
                <w:b/>
                <w:sz w:val="18"/>
                <w:lang w:val="fr-CA"/>
              </w:rPr>
            </w:pPr>
            <w:r>
              <w:rPr>
                <w:rFonts w:ascii="HelveticaNeueLT Std" w:hAnsi="HelveticaNeueLT Std"/>
                <w:b/>
                <w:sz w:val="18"/>
                <w:lang w:val="fr-CA"/>
              </w:rPr>
              <w:t>Identification de l’établissement</w:t>
            </w:r>
          </w:p>
        </w:tc>
        <w:tc>
          <w:tcPr>
            <w:tcW w:w="2539" w:type="pct"/>
            <w:tcBorders>
              <w:top w:val="nil"/>
              <w:left w:val="nil"/>
              <w:right w:val="nil"/>
            </w:tcBorders>
            <w:vAlign w:val="center"/>
          </w:tcPr>
          <w:p w:rsidR="00054BA2" w:rsidRPr="00554157" w:rsidRDefault="00054BA2" w:rsidP="00406A65">
            <w:pPr>
              <w:pStyle w:val="TableParagraph"/>
              <w:spacing w:line="224" w:lineRule="exact"/>
              <w:ind w:left="67" w:right="366"/>
              <w:jc w:val="right"/>
              <w:rPr>
                <w:rFonts w:ascii="HelveticaNeueLT Std" w:hAnsi="HelveticaNeueLT Std"/>
                <w:b/>
                <w:sz w:val="18"/>
                <w:lang w:val="fr-CA"/>
              </w:rPr>
            </w:pPr>
            <w:r>
              <w:rPr>
                <w:rFonts w:ascii="HelveticaNeueLT Std" w:hAnsi="HelveticaNeueLT Std"/>
                <w:b/>
                <w:sz w:val="18"/>
                <w:lang w:val="fr-CA"/>
              </w:rPr>
              <w:t>Ordonnance collective</w:t>
            </w:r>
          </w:p>
        </w:tc>
      </w:tr>
      <w:tr w:rsidR="00054BA2" w:rsidRPr="00554157" w:rsidTr="00406A65">
        <w:trPr>
          <w:trHeight w:val="510"/>
        </w:trPr>
        <w:tc>
          <w:tcPr>
            <w:tcW w:w="1230" w:type="pct"/>
            <w:vAlign w:val="center"/>
          </w:tcPr>
          <w:p w:rsidR="00054BA2" w:rsidRPr="00554157" w:rsidRDefault="00054BA2" w:rsidP="00406A65">
            <w:pPr>
              <w:pStyle w:val="TableParagraph"/>
              <w:rPr>
                <w:rFonts w:ascii="HelveticaNeueLT Std" w:hAnsi="HelveticaNeueLT Std"/>
                <w:b/>
                <w:sz w:val="18"/>
                <w:lang w:val="fr-CA"/>
              </w:rPr>
            </w:pPr>
            <w:r w:rsidRPr="00554157">
              <w:rPr>
                <w:rFonts w:ascii="HelveticaNeueLT Std" w:hAnsi="HelveticaNeueLT Std"/>
                <w:b/>
                <w:sz w:val="18"/>
                <w:lang w:val="fr-CA"/>
              </w:rPr>
              <w:t>N</w:t>
            </w:r>
            <w:r w:rsidRPr="00554157">
              <w:rPr>
                <w:rFonts w:ascii="HelveticaNeueLT Std" w:hAnsi="HelveticaNeueLT Std"/>
                <w:b/>
                <w:sz w:val="18"/>
                <w:vertAlign w:val="superscript"/>
                <w:lang w:val="fr-CA"/>
              </w:rPr>
              <w:t>o</w:t>
            </w:r>
            <w:r w:rsidRPr="00554157">
              <w:rPr>
                <w:rFonts w:ascii="HelveticaNeueLT Std" w:hAnsi="HelveticaNeueLT Std"/>
                <w:b/>
                <w:sz w:val="18"/>
                <w:lang w:val="fr-CA"/>
              </w:rPr>
              <w:t>. de l’ordonnance :</w:t>
            </w:r>
          </w:p>
          <w:p w:rsidR="00054BA2" w:rsidRPr="00554157" w:rsidRDefault="00054BA2" w:rsidP="00406A65">
            <w:pPr>
              <w:pStyle w:val="TableParagraph"/>
              <w:rPr>
                <w:rFonts w:ascii="HelveticaNeueLT Std" w:hAnsi="HelveticaNeueLT Std"/>
                <w:i/>
                <w:sz w:val="18"/>
                <w:lang w:val="fr-CA"/>
              </w:rPr>
            </w:pPr>
            <w:r w:rsidRPr="00554157">
              <w:rPr>
                <w:rFonts w:ascii="HelveticaNeueLT Std" w:hAnsi="HelveticaNeueLT Std"/>
                <w:i/>
                <w:sz w:val="18"/>
                <w:lang w:val="fr-CA"/>
              </w:rPr>
              <w:t>À compléter</w:t>
            </w:r>
          </w:p>
        </w:tc>
        <w:tc>
          <w:tcPr>
            <w:tcW w:w="3770" w:type="pct"/>
            <w:gridSpan w:val="3"/>
            <w:vAlign w:val="center"/>
          </w:tcPr>
          <w:p w:rsidR="00054BA2" w:rsidRPr="00554157" w:rsidRDefault="00054BA2" w:rsidP="00406A65">
            <w:pPr>
              <w:pStyle w:val="TableParagraph"/>
              <w:spacing w:line="224" w:lineRule="exact"/>
              <w:ind w:left="67"/>
              <w:rPr>
                <w:rFonts w:ascii="HelveticaNeueLT Std" w:hAnsi="HelveticaNeueLT Std"/>
                <w:b/>
                <w:sz w:val="18"/>
                <w:lang w:val="fr-CA"/>
              </w:rPr>
            </w:pPr>
            <w:r w:rsidRPr="00554157">
              <w:rPr>
                <w:rFonts w:ascii="HelveticaNeueLT Std" w:hAnsi="HelveticaNeueLT Std"/>
                <w:b/>
                <w:sz w:val="18"/>
                <w:lang w:val="fr-CA"/>
              </w:rPr>
              <w:t>Demander ou initier un prélèvement nasopharyngé pour la recherche</w:t>
            </w:r>
            <w:r>
              <w:rPr>
                <w:rFonts w:ascii="HelveticaNeueLT Std" w:hAnsi="HelveticaNeueLT Std"/>
                <w:b/>
                <w:sz w:val="18"/>
                <w:lang w:val="fr-CA"/>
              </w:rPr>
              <w:t xml:space="preserve"> </w:t>
            </w:r>
            <w:r w:rsidRPr="00554157">
              <w:rPr>
                <w:rFonts w:ascii="HelveticaNeueLT Std" w:hAnsi="HelveticaNeueLT Std"/>
                <w:b/>
                <w:sz w:val="18"/>
                <w:lang w:val="fr-CA"/>
              </w:rPr>
              <w:t xml:space="preserve">d’influenza ou autres virus respiratoires </w:t>
            </w:r>
            <w:r w:rsidRPr="00554157">
              <w:rPr>
                <w:rFonts w:ascii="HelveticaNeueLT Std" w:hAnsi="HelveticaNeueLT Std"/>
                <w:i/>
                <w:sz w:val="18"/>
                <w:lang w:val="fr-CA"/>
              </w:rPr>
              <w:t>(indiquer les tests disponibles)</w:t>
            </w:r>
            <w:r w:rsidRPr="00554157">
              <w:rPr>
                <w:rFonts w:ascii="HelveticaNeueLT Std" w:hAnsi="HelveticaNeueLT Std"/>
                <w:b/>
                <w:i/>
                <w:sz w:val="18"/>
                <w:lang w:val="fr-CA"/>
              </w:rPr>
              <w:t xml:space="preserve"> </w:t>
            </w:r>
          </w:p>
        </w:tc>
      </w:tr>
      <w:tr w:rsidR="00054BA2" w:rsidRPr="00554157" w:rsidTr="00406A65">
        <w:trPr>
          <w:trHeight w:val="308"/>
        </w:trPr>
        <w:tc>
          <w:tcPr>
            <w:tcW w:w="1827" w:type="pct"/>
            <w:gridSpan w:val="2"/>
            <w:vMerge w:val="restart"/>
            <w:vAlign w:val="center"/>
          </w:tcPr>
          <w:p w:rsidR="00054BA2" w:rsidRPr="00554157" w:rsidRDefault="00054BA2" w:rsidP="00406A65">
            <w:pPr>
              <w:pStyle w:val="TableParagraph"/>
              <w:ind w:left="67"/>
              <w:rPr>
                <w:rFonts w:ascii="HelveticaNeueLT Std" w:hAnsi="HelveticaNeueLT Std"/>
                <w:sz w:val="18"/>
                <w:lang w:val="fr-CA"/>
              </w:rPr>
            </w:pPr>
            <w:r w:rsidRPr="00554157">
              <w:rPr>
                <w:rFonts w:ascii="HelveticaNeueLT Std" w:hAnsi="HelveticaNeueLT Std"/>
                <w:b/>
                <w:sz w:val="18"/>
                <w:lang w:val="fr-CA"/>
              </w:rPr>
              <w:t xml:space="preserve">Émise le </w:t>
            </w:r>
            <w:r w:rsidRPr="00554157">
              <w:rPr>
                <w:rFonts w:ascii="HelveticaNeueLT Std" w:hAnsi="HelveticaNeueLT Std"/>
                <w:sz w:val="18"/>
                <w:lang w:val="fr-CA"/>
              </w:rPr>
              <w:t xml:space="preserve">: </w:t>
            </w:r>
            <w:r w:rsidRPr="00554157">
              <w:rPr>
                <w:rFonts w:ascii="HelveticaNeueLT Std" w:hAnsi="HelveticaNeueLT Std"/>
                <w:i/>
                <w:sz w:val="18"/>
                <w:lang w:val="fr-CA"/>
              </w:rPr>
              <w:t>À compléter</w:t>
            </w:r>
          </w:p>
        </w:tc>
        <w:tc>
          <w:tcPr>
            <w:tcW w:w="3173" w:type="pct"/>
            <w:gridSpan w:val="2"/>
          </w:tcPr>
          <w:p w:rsidR="00054BA2" w:rsidRPr="00554157" w:rsidRDefault="00054BA2" w:rsidP="00406A65">
            <w:pPr>
              <w:pStyle w:val="TableParagraph"/>
              <w:spacing w:before="1"/>
              <w:ind w:left="0"/>
              <w:rPr>
                <w:rFonts w:ascii="HelveticaNeueLT Std" w:hAnsi="HelveticaNeueLT Std"/>
                <w:sz w:val="18"/>
                <w:lang w:val="fr-CA"/>
              </w:rPr>
            </w:pPr>
          </w:p>
          <w:p w:rsidR="00054BA2" w:rsidRPr="00554157" w:rsidRDefault="00054BA2" w:rsidP="00406A65">
            <w:pPr>
              <w:pStyle w:val="TableParagraph"/>
              <w:ind w:left="0"/>
              <w:rPr>
                <w:rFonts w:ascii="HelveticaNeueLT Std" w:hAnsi="HelveticaNeueLT Std"/>
                <w:sz w:val="18"/>
                <w:lang w:val="fr-CA"/>
              </w:rPr>
            </w:pPr>
            <w:r w:rsidRPr="00554157">
              <w:rPr>
                <w:rFonts w:ascii="HelveticaNeueLT Std" w:hAnsi="HelveticaNeueLT Std"/>
                <w:b/>
                <w:sz w:val="18"/>
                <w:lang w:val="fr-CA"/>
              </w:rPr>
              <w:t xml:space="preserve">Révisée le </w:t>
            </w:r>
            <w:r w:rsidRPr="00554157">
              <w:rPr>
                <w:rFonts w:ascii="HelveticaNeueLT Std" w:hAnsi="HelveticaNeueLT Std"/>
                <w:sz w:val="18"/>
                <w:lang w:val="fr-CA"/>
              </w:rPr>
              <w:t xml:space="preserve">: </w:t>
            </w:r>
            <w:r w:rsidRPr="00554157">
              <w:rPr>
                <w:rFonts w:ascii="HelveticaNeueLT Std" w:hAnsi="HelveticaNeueLT Std"/>
                <w:i/>
                <w:sz w:val="18"/>
                <w:lang w:val="fr-CA"/>
              </w:rPr>
              <w:t>À compléter</w:t>
            </w:r>
          </w:p>
        </w:tc>
      </w:tr>
      <w:tr w:rsidR="00054BA2" w:rsidRPr="00554157" w:rsidTr="00406A65">
        <w:trPr>
          <w:trHeight w:val="307"/>
        </w:trPr>
        <w:tc>
          <w:tcPr>
            <w:tcW w:w="1827" w:type="pct"/>
            <w:gridSpan w:val="2"/>
            <w:vMerge/>
          </w:tcPr>
          <w:p w:rsidR="00054BA2" w:rsidRPr="00554157" w:rsidRDefault="00054BA2" w:rsidP="00406A65">
            <w:pPr>
              <w:pStyle w:val="TableParagraph"/>
              <w:spacing w:before="1"/>
              <w:ind w:left="0"/>
              <w:rPr>
                <w:rFonts w:ascii="HelveticaNeueLT Std" w:hAnsi="HelveticaNeueLT Std"/>
                <w:sz w:val="18"/>
                <w:lang w:val="fr-CA"/>
              </w:rPr>
            </w:pPr>
          </w:p>
        </w:tc>
        <w:tc>
          <w:tcPr>
            <w:tcW w:w="3173" w:type="pct"/>
            <w:gridSpan w:val="2"/>
          </w:tcPr>
          <w:p w:rsidR="00054BA2" w:rsidRPr="00554157" w:rsidRDefault="00054BA2" w:rsidP="00406A65">
            <w:pPr>
              <w:pStyle w:val="TableParagraph"/>
              <w:spacing w:before="1"/>
              <w:ind w:left="0"/>
              <w:rPr>
                <w:rFonts w:ascii="HelveticaNeueLT Std" w:hAnsi="HelveticaNeueLT Std"/>
                <w:b/>
                <w:sz w:val="18"/>
                <w:lang w:val="fr-CA"/>
              </w:rPr>
            </w:pPr>
          </w:p>
          <w:p w:rsidR="00054BA2" w:rsidRPr="00554157" w:rsidRDefault="00054BA2" w:rsidP="00406A65">
            <w:pPr>
              <w:pStyle w:val="TableParagraph"/>
              <w:spacing w:before="1"/>
              <w:ind w:left="0"/>
              <w:rPr>
                <w:rFonts w:ascii="HelveticaNeueLT Std" w:hAnsi="HelveticaNeueLT Std"/>
                <w:sz w:val="18"/>
                <w:lang w:val="fr-CA"/>
              </w:rPr>
            </w:pPr>
            <w:r w:rsidRPr="00554157">
              <w:rPr>
                <w:rFonts w:ascii="HelveticaNeueLT Std" w:hAnsi="HelveticaNeueLT Std"/>
                <w:b/>
                <w:sz w:val="18"/>
                <w:lang w:val="fr-CA"/>
              </w:rPr>
              <w:t>Prochaine révision :</w:t>
            </w:r>
            <w:r w:rsidRPr="00554157">
              <w:rPr>
                <w:rFonts w:ascii="HelveticaNeueLT Std" w:hAnsi="HelveticaNeueLT Std"/>
                <w:i/>
                <w:sz w:val="18"/>
                <w:lang w:val="fr-CA"/>
              </w:rPr>
              <w:t xml:space="preserve"> À compléter</w:t>
            </w:r>
          </w:p>
        </w:tc>
      </w:tr>
      <w:tr w:rsidR="00054BA2" w:rsidRPr="00554157" w:rsidTr="00406A65">
        <w:trPr>
          <w:trHeight w:val="385"/>
        </w:trPr>
        <w:tc>
          <w:tcPr>
            <w:tcW w:w="5000" w:type="pct"/>
            <w:gridSpan w:val="4"/>
            <w:vAlign w:val="center"/>
          </w:tcPr>
          <w:p w:rsidR="00054BA2" w:rsidRPr="00554157" w:rsidRDefault="00054BA2" w:rsidP="00406A65">
            <w:pPr>
              <w:pStyle w:val="TableParagraph"/>
              <w:rPr>
                <w:rFonts w:ascii="HelveticaNeueLT Std" w:hAnsi="HelveticaNeueLT Std"/>
                <w:sz w:val="18"/>
                <w:lang w:val="fr-CA"/>
              </w:rPr>
            </w:pPr>
            <w:r w:rsidRPr="00554157">
              <w:rPr>
                <w:rFonts w:ascii="HelveticaNeueLT Std" w:hAnsi="HelveticaNeueLT Std"/>
                <w:b/>
                <w:sz w:val="18"/>
                <w:lang w:val="fr-CA"/>
              </w:rPr>
              <w:t xml:space="preserve">Installation(s) : </w:t>
            </w:r>
            <w:r w:rsidRPr="00554157">
              <w:rPr>
                <w:rFonts w:ascii="HelveticaNeueLT Std" w:hAnsi="HelveticaNeueLT Std"/>
                <w:i/>
                <w:sz w:val="18"/>
                <w:lang w:val="fr-CA"/>
              </w:rPr>
              <w:t>À compléter</w:t>
            </w:r>
            <w:r w:rsidRPr="00554157">
              <w:rPr>
                <w:rFonts w:ascii="HelveticaNeueLT Std" w:hAnsi="HelveticaNeueLT Std"/>
                <w:b/>
                <w:i/>
                <w:sz w:val="18"/>
                <w:lang w:val="fr-CA"/>
              </w:rPr>
              <w:t xml:space="preserve"> </w:t>
            </w:r>
          </w:p>
        </w:tc>
      </w:tr>
      <w:tr w:rsidR="00054BA2" w:rsidRPr="00554157" w:rsidTr="00406A65">
        <w:trPr>
          <w:trHeight w:val="386"/>
        </w:trPr>
        <w:tc>
          <w:tcPr>
            <w:tcW w:w="5000" w:type="pct"/>
            <w:gridSpan w:val="4"/>
            <w:vAlign w:val="center"/>
          </w:tcPr>
          <w:p w:rsidR="00054BA2" w:rsidRPr="00554157" w:rsidRDefault="00054BA2" w:rsidP="00406A65">
            <w:pPr>
              <w:pStyle w:val="TableParagraph"/>
              <w:ind w:left="68"/>
              <w:rPr>
                <w:rFonts w:ascii="HelveticaNeueLT Std" w:hAnsi="HelveticaNeueLT Std"/>
                <w:b/>
                <w:sz w:val="18"/>
                <w:lang w:val="fr-CA"/>
              </w:rPr>
            </w:pPr>
            <w:r w:rsidRPr="00554157">
              <w:rPr>
                <w:rFonts w:ascii="HelveticaNeueLT Std" w:hAnsi="HelveticaNeueLT Std"/>
                <w:b/>
                <w:sz w:val="18"/>
                <w:lang w:val="fr-CA"/>
              </w:rPr>
              <w:t xml:space="preserve">Secteurs d’activité visés : </w:t>
            </w:r>
            <w:r w:rsidRPr="00554157">
              <w:rPr>
                <w:rFonts w:ascii="HelveticaNeueLT Std" w:hAnsi="HelveticaNeueLT Std"/>
                <w:i/>
                <w:sz w:val="18"/>
                <w:lang w:val="fr-CA"/>
              </w:rPr>
              <w:t>À compléter</w:t>
            </w:r>
          </w:p>
        </w:tc>
      </w:tr>
      <w:tr w:rsidR="00054BA2" w:rsidRPr="00554157" w:rsidTr="00406A65">
        <w:trPr>
          <w:trHeight w:val="386"/>
        </w:trPr>
        <w:tc>
          <w:tcPr>
            <w:tcW w:w="5000" w:type="pct"/>
            <w:gridSpan w:val="4"/>
            <w:vAlign w:val="center"/>
          </w:tcPr>
          <w:p w:rsidR="00054BA2" w:rsidRPr="00554157" w:rsidRDefault="00054BA2" w:rsidP="00406A65">
            <w:pPr>
              <w:pStyle w:val="TableParagraph"/>
              <w:rPr>
                <w:rFonts w:ascii="HelveticaNeueLT Std" w:hAnsi="HelveticaNeueLT Std"/>
                <w:b/>
                <w:sz w:val="18"/>
                <w:lang w:val="fr-CA"/>
              </w:rPr>
            </w:pPr>
            <w:r w:rsidRPr="00554157">
              <w:rPr>
                <w:rFonts w:ascii="HelveticaNeueLT Std" w:hAnsi="HelveticaNeueLT Std"/>
                <w:b/>
                <w:sz w:val="18"/>
                <w:lang w:val="fr-CA"/>
              </w:rPr>
              <w:t>Clientèle visée</w:t>
            </w:r>
            <w:r>
              <w:rPr>
                <w:rFonts w:ascii="HelveticaNeueLT Std" w:hAnsi="HelveticaNeueLT Std"/>
                <w:b/>
                <w:sz w:val="18"/>
                <w:lang w:val="fr-CA"/>
              </w:rPr>
              <w:t> </w:t>
            </w:r>
            <w:r w:rsidRPr="00554157">
              <w:rPr>
                <w:rFonts w:ascii="HelveticaNeueLT Std" w:hAnsi="HelveticaNeueLT Std"/>
                <w:b/>
                <w:sz w:val="18"/>
                <w:lang w:val="fr-CA"/>
              </w:rPr>
              <w:t xml:space="preserve">: </w:t>
            </w:r>
            <w:r w:rsidRPr="00554157">
              <w:rPr>
                <w:rFonts w:ascii="HelveticaNeueLT Std" w:hAnsi="HelveticaNeueLT Std"/>
                <w:i/>
                <w:sz w:val="18"/>
                <w:lang w:val="fr-CA"/>
              </w:rPr>
              <w:t>À compléter</w:t>
            </w:r>
          </w:p>
        </w:tc>
      </w:tr>
    </w:tbl>
    <w:p w:rsidR="000541C3" w:rsidRPr="00054BA2" w:rsidRDefault="000541C3">
      <w:pPr>
        <w:rPr>
          <w:sz w:val="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90"/>
      </w:tblGrid>
      <w:tr w:rsidR="00054BA2" w:rsidRPr="00554157" w:rsidTr="00406A65">
        <w:trPr>
          <w:trHeight w:val="510"/>
        </w:trPr>
        <w:tc>
          <w:tcPr>
            <w:tcW w:w="5000" w:type="pct"/>
          </w:tcPr>
          <w:p w:rsidR="00054BA2" w:rsidRPr="00554157" w:rsidRDefault="00054BA2" w:rsidP="00406A65">
            <w:pPr>
              <w:pStyle w:val="TableParagraph"/>
              <w:spacing w:before="40"/>
              <w:ind w:left="68"/>
              <w:rPr>
                <w:rFonts w:ascii="HelveticaNeueLT Std" w:hAnsi="HelveticaNeueLT Std"/>
                <w:sz w:val="18"/>
                <w:lang w:val="fr-CA"/>
              </w:rPr>
            </w:pPr>
            <w:r w:rsidRPr="00554157">
              <w:rPr>
                <w:rFonts w:ascii="HelveticaNeueLT Std" w:hAnsi="HelveticaNeueLT Std"/>
                <w:b/>
                <w:sz w:val="18"/>
                <w:lang w:val="fr-CA"/>
              </w:rPr>
              <w:t>Professionnels habilités et visés par l’ordonnance :</w:t>
            </w:r>
            <w:r w:rsidRPr="00554157">
              <w:rPr>
                <w:rFonts w:ascii="HelveticaNeueLT Std" w:hAnsi="HelveticaNeueLT Std"/>
                <w:i/>
                <w:sz w:val="18"/>
                <w:lang w:val="fr-CA"/>
              </w:rPr>
              <w:t xml:space="preserve"> À compléter</w:t>
            </w:r>
          </w:p>
        </w:tc>
      </w:tr>
      <w:tr w:rsidR="00054BA2" w:rsidRPr="00554157" w:rsidTr="00406A65">
        <w:trPr>
          <w:trHeight w:val="794"/>
        </w:trPr>
        <w:tc>
          <w:tcPr>
            <w:tcW w:w="5000" w:type="pct"/>
          </w:tcPr>
          <w:p w:rsidR="00054BA2" w:rsidRPr="00554157" w:rsidRDefault="00054BA2" w:rsidP="00406A65">
            <w:pPr>
              <w:pStyle w:val="TableParagraph"/>
              <w:spacing w:before="54" w:after="60"/>
              <w:ind w:left="68"/>
              <w:rPr>
                <w:rFonts w:ascii="HelveticaNeueLT Std" w:hAnsi="HelveticaNeueLT Std"/>
                <w:b/>
                <w:sz w:val="18"/>
                <w:lang w:val="fr-CA"/>
              </w:rPr>
            </w:pPr>
            <w:r>
              <w:rPr>
                <w:rFonts w:ascii="HelveticaNeueLT Std" w:hAnsi="HelveticaNeueLT Std"/>
                <w:b/>
                <w:sz w:val="18"/>
                <w:lang w:val="fr-CA"/>
              </w:rPr>
              <w:t>Activités réservées</w:t>
            </w:r>
          </w:p>
          <w:p w:rsidR="00054BA2" w:rsidRPr="00054BA2" w:rsidRDefault="00054BA2" w:rsidP="00054BA2">
            <w:pPr>
              <w:pStyle w:val="Puce1"/>
              <w:spacing w:after="0" w:line="240" w:lineRule="auto"/>
              <w:ind w:left="346" w:hanging="284"/>
              <w:rPr>
                <w:sz w:val="18"/>
                <w:lang w:val="fr-CA"/>
              </w:rPr>
            </w:pPr>
            <w:r w:rsidRPr="00054BA2">
              <w:rPr>
                <w:sz w:val="18"/>
                <w:lang w:val="fr-CA"/>
              </w:rPr>
              <w:t>Évaluer la condition physique et mentale d’une personne</w:t>
            </w:r>
            <w:r w:rsidRPr="00054BA2">
              <w:rPr>
                <w:spacing w:val="-4"/>
                <w:sz w:val="18"/>
                <w:lang w:val="fr-CA"/>
              </w:rPr>
              <w:t xml:space="preserve"> </w:t>
            </w:r>
            <w:r w:rsidRPr="00054BA2">
              <w:rPr>
                <w:sz w:val="18"/>
                <w:lang w:val="fr-CA"/>
              </w:rPr>
              <w:t>symptomatique.</w:t>
            </w:r>
          </w:p>
          <w:p w:rsidR="00054BA2" w:rsidRPr="00054BA2" w:rsidRDefault="00054BA2" w:rsidP="00054BA2">
            <w:pPr>
              <w:pStyle w:val="Puce1"/>
              <w:spacing w:after="0" w:line="240" w:lineRule="auto"/>
              <w:ind w:left="346" w:hanging="284"/>
              <w:rPr>
                <w:lang w:val="fr-CA"/>
              </w:rPr>
            </w:pPr>
            <w:r w:rsidRPr="00054BA2">
              <w:rPr>
                <w:sz w:val="18"/>
                <w:lang w:val="fr-CA"/>
              </w:rPr>
              <w:t>Initier des mesures diagnostiques et thérapeutiques, selon une</w:t>
            </w:r>
            <w:r w:rsidRPr="00054BA2">
              <w:rPr>
                <w:spacing w:val="-7"/>
                <w:sz w:val="18"/>
                <w:lang w:val="fr-CA"/>
              </w:rPr>
              <w:t xml:space="preserve"> </w:t>
            </w:r>
            <w:r w:rsidRPr="00054BA2">
              <w:rPr>
                <w:sz w:val="18"/>
                <w:lang w:val="fr-CA"/>
              </w:rPr>
              <w:t>ordonnance.</w:t>
            </w:r>
          </w:p>
        </w:tc>
      </w:tr>
      <w:tr w:rsidR="00054BA2" w:rsidRPr="00554157" w:rsidTr="00406A65">
        <w:trPr>
          <w:trHeight w:val="841"/>
        </w:trPr>
        <w:tc>
          <w:tcPr>
            <w:tcW w:w="5000" w:type="pct"/>
          </w:tcPr>
          <w:p w:rsidR="00054BA2" w:rsidRPr="00554157" w:rsidRDefault="00054BA2" w:rsidP="00406A65">
            <w:pPr>
              <w:pStyle w:val="TableParagraph"/>
              <w:spacing w:before="54" w:after="60"/>
              <w:ind w:left="68"/>
              <w:rPr>
                <w:rFonts w:ascii="HelveticaNeueLT Std" w:hAnsi="HelveticaNeueLT Std"/>
                <w:b/>
                <w:sz w:val="18"/>
                <w:lang w:val="fr-CA"/>
              </w:rPr>
            </w:pPr>
            <w:r w:rsidRPr="00554157">
              <w:rPr>
                <w:rFonts w:ascii="HelveticaNeueLT Std" w:hAnsi="HelveticaNeueLT Std"/>
                <w:b/>
                <w:sz w:val="18"/>
                <w:lang w:val="fr-CA"/>
              </w:rPr>
              <w:t>Situation c</w:t>
            </w:r>
            <w:r>
              <w:rPr>
                <w:rFonts w:ascii="HelveticaNeueLT Std" w:hAnsi="HelveticaNeueLT Std"/>
                <w:b/>
                <w:sz w:val="18"/>
                <w:lang w:val="fr-CA"/>
              </w:rPr>
              <w:t>linique visée par l’ordonnance</w:t>
            </w:r>
          </w:p>
          <w:p w:rsidR="00054BA2" w:rsidRPr="00554157" w:rsidRDefault="00054BA2" w:rsidP="00054BA2">
            <w:pPr>
              <w:pStyle w:val="TableParagraph"/>
              <w:numPr>
                <w:ilvl w:val="0"/>
                <w:numId w:val="2"/>
              </w:numPr>
              <w:tabs>
                <w:tab w:val="left" w:pos="425"/>
              </w:tabs>
              <w:spacing w:after="60"/>
              <w:ind w:right="97"/>
              <w:jc w:val="both"/>
              <w:rPr>
                <w:rFonts w:ascii="HelveticaNeueLT Std" w:hAnsi="HelveticaNeueLT Std"/>
                <w:sz w:val="18"/>
                <w:lang w:val="fr-CA"/>
              </w:rPr>
            </w:pPr>
            <w:r w:rsidRPr="00554157">
              <w:rPr>
                <w:rFonts w:ascii="HelveticaNeueLT Std" w:hAnsi="HelveticaNeueLT Std"/>
                <w:sz w:val="18"/>
                <w:lang w:val="fr-CA"/>
              </w:rPr>
              <w:t>L’infirmière en PCI peut demander un prélèvement lorsqu’elle est informée qu’un usager présente des signes et symptômes cliniques d’allure grippale (SAG).</w:t>
            </w:r>
          </w:p>
          <w:p w:rsidR="00054BA2" w:rsidRPr="00554157" w:rsidRDefault="00054BA2" w:rsidP="00054BA2">
            <w:pPr>
              <w:pStyle w:val="TableParagraph"/>
              <w:numPr>
                <w:ilvl w:val="0"/>
                <w:numId w:val="2"/>
              </w:numPr>
              <w:tabs>
                <w:tab w:val="left" w:pos="425"/>
              </w:tabs>
              <w:spacing w:after="60"/>
              <w:ind w:right="96"/>
              <w:jc w:val="both"/>
              <w:rPr>
                <w:rFonts w:ascii="HelveticaNeueLT Std" w:hAnsi="HelveticaNeueLT Std"/>
                <w:sz w:val="18"/>
                <w:lang w:val="fr-CA"/>
              </w:rPr>
            </w:pPr>
            <w:r w:rsidRPr="00554157">
              <w:rPr>
                <w:rFonts w:ascii="HelveticaNeueLT Std" w:hAnsi="HelveticaNeueLT Std"/>
                <w:sz w:val="18"/>
                <w:lang w:val="fr-CA"/>
              </w:rPr>
              <w:t xml:space="preserve">L’infirmière détermine que l’usager à sa charge présente des signes et symptômes cliniques d’allure grippale. </w:t>
            </w:r>
          </w:p>
          <w:p w:rsidR="00054BA2" w:rsidRPr="00554157" w:rsidRDefault="00054BA2" w:rsidP="00054BA2">
            <w:pPr>
              <w:pStyle w:val="TableParagraph"/>
              <w:numPr>
                <w:ilvl w:val="0"/>
                <w:numId w:val="2"/>
              </w:numPr>
              <w:tabs>
                <w:tab w:val="left" w:pos="425"/>
              </w:tabs>
              <w:spacing w:after="120"/>
              <w:ind w:right="96"/>
              <w:jc w:val="both"/>
              <w:rPr>
                <w:rFonts w:ascii="HelveticaNeueLT Std" w:hAnsi="HelveticaNeueLT Std"/>
                <w:sz w:val="18"/>
                <w:lang w:val="fr-CA"/>
              </w:rPr>
            </w:pPr>
            <w:r w:rsidRPr="00554157">
              <w:rPr>
                <w:rFonts w:ascii="HelveticaNeueLT Std" w:hAnsi="HelveticaNeueLT Std"/>
                <w:sz w:val="18"/>
                <w:lang w:val="fr-CA"/>
              </w:rPr>
              <w:t>L’infirmière définit la méthode de prélèvement des sécrétions nasopharyngées la plus appropriée à la condition clinique de</w:t>
            </w:r>
            <w:r w:rsidRPr="00554157">
              <w:rPr>
                <w:rFonts w:ascii="HelveticaNeueLT Std" w:hAnsi="HelveticaNeueLT Std"/>
                <w:spacing w:val="-4"/>
                <w:sz w:val="18"/>
                <w:lang w:val="fr-CA"/>
              </w:rPr>
              <w:t xml:space="preserve"> </w:t>
            </w:r>
            <w:r w:rsidRPr="00554157">
              <w:rPr>
                <w:rFonts w:ascii="HelveticaNeueLT Std" w:hAnsi="HelveticaNeueLT Std"/>
                <w:sz w:val="18"/>
                <w:lang w:val="fr-CA"/>
              </w:rPr>
              <w:t>l’usager.</w:t>
            </w:r>
          </w:p>
          <w:p w:rsidR="00054BA2" w:rsidRPr="00554157" w:rsidRDefault="00054BA2" w:rsidP="00406A65">
            <w:pPr>
              <w:pStyle w:val="TableParagraph"/>
              <w:spacing w:after="60"/>
              <w:ind w:left="62" w:right="96"/>
              <w:rPr>
                <w:rFonts w:ascii="HelveticaNeueLT Std" w:hAnsi="HelveticaNeueLT Std"/>
                <w:sz w:val="18"/>
                <w:lang w:val="fr-CA"/>
              </w:rPr>
            </w:pPr>
            <w:r w:rsidRPr="00554157">
              <w:rPr>
                <w:rFonts w:ascii="HelveticaNeueLT Std" w:hAnsi="HelveticaNeueLT Std"/>
                <w:sz w:val="18"/>
                <w:lang w:val="fr-CA"/>
              </w:rPr>
              <w:t>Le tableau clinique de SAG consiste en une apparition soudaine de fièvre et de toux, et d’au moins l’un des symptômes suivants :</w:t>
            </w:r>
          </w:p>
          <w:p w:rsidR="00054BA2" w:rsidRPr="00554157" w:rsidRDefault="00054BA2" w:rsidP="00054BA2">
            <w:pPr>
              <w:pStyle w:val="Puce1"/>
              <w:spacing w:after="0" w:line="240" w:lineRule="auto"/>
              <w:ind w:left="346" w:hanging="284"/>
              <w:rPr>
                <w:sz w:val="18"/>
              </w:rPr>
            </w:pPr>
            <w:r>
              <w:rPr>
                <w:sz w:val="18"/>
              </w:rPr>
              <w:t>M</w:t>
            </w:r>
            <w:r w:rsidRPr="00554157">
              <w:rPr>
                <w:sz w:val="18"/>
              </w:rPr>
              <w:t>al de gorge</w:t>
            </w:r>
          </w:p>
          <w:p w:rsidR="00054BA2" w:rsidRPr="00554157" w:rsidRDefault="00054BA2" w:rsidP="00054BA2">
            <w:pPr>
              <w:pStyle w:val="Puce1"/>
              <w:spacing w:after="0" w:line="240" w:lineRule="auto"/>
              <w:ind w:left="346" w:hanging="284"/>
              <w:rPr>
                <w:sz w:val="18"/>
              </w:rPr>
            </w:pPr>
            <w:proofErr w:type="spellStart"/>
            <w:r>
              <w:rPr>
                <w:sz w:val="18"/>
              </w:rPr>
              <w:t>A</w:t>
            </w:r>
            <w:r w:rsidRPr="00554157">
              <w:rPr>
                <w:sz w:val="18"/>
              </w:rPr>
              <w:t>rthralgie</w:t>
            </w:r>
            <w:proofErr w:type="spellEnd"/>
          </w:p>
          <w:p w:rsidR="00054BA2" w:rsidRPr="00554157" w:rsidRDefault="00054BA2" w:rsidP="00054BA2">
            <w:pPr>
              <w:pStyle w:val="Puce1"/>
              <w:spacing w:after="0" w:line="240" w:lineRule="auto"/>
              <w:ind w:left="346" w:hanging="284"/>
              <w:rPr>
                <w:sz w:val="18"/>
              </w:rPr>
            </w:pPr>
            <w:proofErr w:type="spellStart"/>
            <w:r>
              <w:rPr>
                <w:sz w:val="18"/>
              </w:rPr>
              <w:t>M</w:t>
            </w:r>
            <w:r w:rsidRPr="00554157">
              <w:rPr>
                <w:sz w:val="18"/>
              </w:rPr>
              <w:t>yalgie</w:t>
            </w:r>
            <w:proofErr w:type="spellEnd"/>
          </w:p>
          <w:p w:rsidR="00054BA2" w:rsidRPr="00554157" w:rsidRDefault="00054BA2" w:rsidP="00054BA2">
            <w:pPr>
              <w:pStyle w:val="Puce1"/>
              <w:spacing w:line="240" w:lineRule="auto"/>
              <w:ind w:left="346" w:hanging="284"/>
              <w:rPr>
                <w:sz w:val="18"/>
              </w:rPr>
            </w:pPr>
            <w:r>
              <w:rPr>
                <w:sz w:val="18"/>
              </w:rPr>
              <w:t>F</w:t>
            </w:r>
            <w:r w:rsidRPr="00554157">
              <w:rPr>
                <w:sz w:val="18"/>
              </w:rPr>
              <w:t xml:space="preserve">atigue </w:t>
            </w:r>
            <w:proofErr w:type="spellStart"/>
            <w:r w:rsidRPr="00554157">
              <w:rPr>
                <w:sz w:val="18"/>
              </w:rPr>
              <w:t>extrême</w:t>
            </w:r>
            <w:proofErr w:type="spellEnd"/>
          </w:p>
          <w:p w:rsidR="00054BA2" w:rsidRPr="00554157" w:rsidRDefault="00054BA2" w:rsidP="00406A65">
            <w:pPr>
              <w:pStyle w:val="TableParagraph"/>
              <w:spacing w:after="60"/>
              <w:ind w:left="62" w:right="96"/>
              <w:rPr>
                <w:rFonts w:ascii="HelveticaNeueLT Std" w:hAnsi="HelveticaNeueLT Std"/>
                <w:sz w:val="18"/>
                <w:lang w:val="fr-CA"/>
              </w:rPr>
            </w:pPr>
            <w:r w:rsidRPr="00554157">
              <w:rPr>
                <w:rFonts w:ascii="HelveticaNeueLT Std" w:hAnsi="HelveticaNeueLT Std"/>
                <w:sz w:val="18"/>
                <w:lang w:val="fr-CA"/>
              </w:rPr>
              <w:t>Les méthodes de prélèvement sont :</w:t>
            </w:r>
          </w:p>
          <w:p w:rsidR="00054BA2" w:rsidRPr="00054BA2" w:rsidRDefault="00054BA2" w:rsidP="00054BA2">
            <w:pPr>
              <w:pStyle w:val="Puce1"/>
              <w:spacing w:after="0" w:line="240" w:lineRule="auto"/>
              <w:ind w:left="346" w:hanging="284"/>
              <w:rPr>
                <w:sz w:val="18"/>
                <w:lang w:val="fr-CA"/>
              </w:rPr>
            </w:pPr>
            <w:r w:rsidRPr="00054BA2">
              <w:rPr>
                <w:sz w:val="18"/>
                <w:lang w:val="fr-CA"/>
              </w:rPr>
              <w:t>Prélèvement par écouvillon velouteux (flocké) : méthode privilégiée.</w:t>
            </w:r>
          </w:p>
          <w:p w:rsidR="00054BA2" w:rsidRPr="00054BA2" w:rsidRDefault="00054BA2" w:rsidP="00054BA2">
            <w:pPr>
              <w:pStyle w:val="Puce1"/>
              <w:spacing w:after="0" w:line="240" w:lineRule="auto"/>
              <w:ind w:left="346" w:hanging="284"/>
              <w:rPr>
                <w:sz w:val="18"/>
                <w:lang w:val="fr-CA"/>
              </w:rPr>
            </w:pPr>
            <w:r w:rsidRPr="00054BA2">
              <w:rPr>
                <w:sz w:val="18"/>
                <w:lang w:val="fr-CA"/>
              </w:rPr>
              <w:t>Aspiration nasopharyngée : utilisée en milieu hospitalier, pour la clientèle pédiatrique, si la méthode par écouvillonnage velouteux est difficile à effectuer ou si le bébé ou l’enfant présente des sécrétions et qu’une aspiration nasopharyngée est nécessaire dans le but de libérer ses voies respiratoires.</w:t>
            </w:r>
          </w:p>
        </w:tc>
      </w:tr>
      <w:tr w:rsidR="00054BA2" w:rsidRPr="00554157" w:rsidTr="00406A65">
        <w:trPr>
          <w:trHeight w:val="328"/>
        </w:trPr>
        <w:tc>
          <w:tcPr>
            <w:tcW w:w="5000" w:type="pct"/>
          </w:tcPr>
          <w:p w:rsidR="00054BA2" w:rsidRPr="00554157" w:rsidRDefault="00054BA2" w:rsidP="00406A65">
            <w:pPr>
              <w:pStyle w:val="TableParagraph"/>
              <w:spacing w:before="54"/>
              <w:ind w:left="107"/>
              <w:rPr>
                <w:rFonts w:ascii="HelveticaNeueLT Std" w:hAnsi="HelveticaNeueLT Std"/>
                <w:b/>
                <w:sz w:val="18"/>
                <w:lang w:val="fr-FR"/>
              </w:rPr>
            </w:pPr>
            <w:r w:rsidRPr="00554157">
              <w:rPr>
                <w:rFonts w:ascii="HelveticaNeueLT Std" w:hAnsi="HelveticaNeueLT Std"/>
                <w:b/>
                <w:sz w:val="18"/>
                <w:lang w:val="fr-FR"/>
              </w:rPr>
              <w:t>Indications</w:t>
            </w:r>
          </w:p>
          <w:p w:rsidR="00054BA2" w:rsidRPr="00554157" w:rsidRDefault="00054BA2" w:rsidP="00406A65">
            <w:pPr>
              <w:pStyle w:val="TableParagraph"/>
              <w:spacing w:before="54"/>
              <w:ind w:left="107"/>
              <w:rPr>
                <w:rFonts w:ascii="HelveticaNeueLT Std" w:hAnsi="HelveticaNeueLT Std"/>
                <w:sz w:val="18"/>
                <w:lang w:val="fr-CA"/>
              </w:rPr>
            </w:pPr>
            <w:r w:rsidRPr="00554157">
              <w:rPr>
                <w:rFonts w:ascii="HelveticaNeueLT Std" w:hAnsi="HelveticaNeueLT Std"/>
                <w:sz w:val="18"/>
                <w:lang w:val="fr-CA"/>
              </w:rPr>
              <w:t>Déterminer la chronologie des tests de diagnostic à utiliser suite à une évaluation de la situation :</w:t>
            </w:r>
          </w:p>
          <w:p w:rsidR="00054BA2" w:rsidRPr="00054BA2" w:rsidRDefault="00054BA2" w:rsidP="00054BA2">
            <w:pPr>
              <w:pStyle w:val="Puce1"/>
              <w:spacing w:before="54" w:after="0" w:line="240" w:lineRule="auto"/>
              <w:ind w:left="421" w:hanging="284"/>
              <w:rPr>
                <w:sz w:val="18"/>
                <w:lang w:val="fr-CA"/>
              </w:rPr>
            </w:pPr>
            <w:r w:rsidRPr="00054BA2">
              <w:rPr>
                <w:sz w:val="18"/>
                <w:lang w:val="fr-CA"/>
              </w:rPr>
              <w:t>débuter par la recherche de l’influenza;</w:t>
            </w:r>
          </w:p>
          <w:p w:rsidR="00054BA2" w:rsidRPr="00054BA2" w:rsidRDefault="00054BA2" w:rsidP="00054BA2">
            <w:pPr>
              <w:pStyle w:val="Puce1"/>
              <w:spacing w:after="0" w:line="240" w:lineRule="auto"/>
              <w:ind w:left="421" w:hanging="284"/>
              <w:rPr>
                <w:sz w:val="18"/>
                <w:lang w:val="fr-CA"/>
              </w:rPr>
            </w:pPr>
            <w:r w:rsidRPr="00054BA2">
              <w:rPr>
                <w:sz w:val="18"/>
                <w:lang w:val="fr-CA"/>
              </w:rPr>
              <w:t>si le résultat est négatif, poursuivre avec la recherche de VRS, si non fait en simultanéité avec l’influenza;</w:t>
            </w:r>
          </w:p>
          <w:p w:rsidR="00054BA2" w:rsidRPr="00054BA2" w:rsidRDefault="00054BA2" w:rsidP="00054BA2">
            <w:pPr>
              <w:pStyle w:val="Puce1"/>
              <w:spacing w:after="0" w:line="240" w:lineRule="auto"/>
              <w:ind w:left="421" w:hanging="284"/>
              <w:rPr>
                <w:b/>
                <w:sz w:val="18"/>
                <w:lang w:val="fr-CA"/>
              </w:rPr>
            </w:pPr>
            <w:r w:rsidRPr="00054BA2">
              <w:rPr>
                <w:sz w:val="18"/>
                <w:lang w:val="fr-CA"/>
              </w:rPr>
              <w:t>si ces tests sont négatifs, lors de manifestations atypiques, d’éclosion majeure, d’éclosion persistante, d’une condition où le résultat pourrait modifier l’application des mesures PCI ou selon la sévérité de la situation (mortalité ou morbidité élevées), demander une analyse pour la recherche de virus respiratoires pour 3 à 5 cas.</w:t>
            </w:r>
          </w:p>
        </w:tc>
      </w:tr>
    </w:tbl>
    <w:p w:rsidR="00977961" w:rsidRDefault="00977961">
      <w:pPr>
        <w:sectPr w:rsidR="00977961" w:rsidSect="000524A7">
          <w:headerReference w:type="default" r:id="rId7"/>
          <w:footerReference w:type="even" r:id="rId8"/>
          <w:footerReference w:type="default" r:id="rId9"/>
          <w:pgSz w:w="12240" w:h="15840"/>
          <w:pgMar w:top="1418" w:right="720" w:bottom="1134" w:left="720" w:header="709" w:footer="709" w:gutter="0"/>
          <w:paperSrc w:first="7" w:other="7"/>
          <w:cols w:space="708"/>
          <w:docGrid w:linePitch="360"/>
        </w:sectPr>
      </w:pPr>
    </w:p>
    <w:p w:rsidR="00054BA2" w:rsidRDefault="00054BA2"/>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90"/>
      </w:tblGrid>
      <w:tr w:rsidR="00054BA2" w:rsidRPr="00554157" w:rsidTr="00406A65">
        <w:trPr>
          <w:trHeight w:val="1191"/>
        </w:trPr>
        <w:tc>
          <w:tcPr>
            <w:tcW w:w="5000" w:type="pct"/>
          </w:tcPr>
          <w:p w:rsidR="00054BA2" w:rsidRPr="00554157" w:rsidRDefault="00054BA2" w:rsidP="00406A65">
            <w:pPr>
              <w:pStyle w:val="TableParagraph"/>
              <w:spacing w:before="54"/>
              <w:ind w:left="107"/>
              <w:rPr>
                <w:rFonts w:ascii="HelveticaNeueLT Std" w:hAnsi="HelveticaNeueLT Std"/>
                <w:b/>
                <w:sz w:val="18"/>
                <w:lang w:val="fr-FR"/>
              </w:rPr>
            </w:pPr>
            <w:r>
              <w:rPr>
                <w:rFonts w:ascii="HelveticaNeueLT Std" w:hAnsi="HelveticaNeueLT Std"/>
                <w:b/>
                <w:sz w:val="18"/>
                <w:lang w:val="fr-FR"/>
              </w:rPr>
              <w:t>Contre-indications</w:t>
            </w:r>
          </w:p>
          <w:p w:rsidR="00054BA2" w:rsidRPr="00554157" w:rsidRDefault="00054BA2" w:rsidP="00054BA2">
            <w:pPr>
              <w:pStyle w:val="Puce1"/>
              <w:spacing w:before="54" w:after="60" w:line="240" w:lineRule="auto"/>
              <w:ind w:left="421" w:hanging="284"/>
              <w:rPr>
                <w:sz w:val="18"/>
                <w:lang w:val="fr-FR"/>
              </w:rPr>
            </w:pPr>
            <w:r w:rsidRPr="00554157">
              <w:rPr>
                <w:sz w:val="18"/>
                <w:lang w:val="fr-FR"/>
              </w:rPr>
              <w:t>Fracture du nez récente (moins de 1 mois).</w:t>
            </w:r>
          </w:p>
          <w:p w:rsidR="00054BA2" w:rsidRPr="00554157" w:rsidRDefault="00054BA2" w:rsidP="00054BA2">
            <w:pPr>
              <w:pStyle w:val="Puce1"/>
              <w:spacing w:after="60" w:line="240" w:lineRule="auto"/>
              <w:ind w:left="421" w:hanging="284"/>
              <w:rPr>
                <w:sz w:val="18"/>
                <w:lang w:val="fr-FR"/>
              </w:rPr>
            </w:pPr>
            <w:r w:rsidRPr="00554157">
              <w:rPr>
                <w:sz w:val="18"/>
                <w:lang w:val="fr-FR"/>
              </w:rPr>
              <w:t>Épistaxis récente (moins de 7 jours).</w:t>
            </w:r>
          </w:p>
          <w:p w:rsidR="00054BA2" w:rsidRPr="00554157" w:rsidRDefault="00054BA2" w:rsidP="00054BA2">
            <w:pPr>
              <w:pStyle w:val="Puce1"/>
              <w:spacing w:after="0" w:line="240" w:lineRule="auto"/>
              <w:ind w:left="421" w:hanging="284"/>
              <w:rPr>
                <w:b/>
                <w:sz w:val="18"/>
                <w:lang w:val="fr-FR"/>
              </w:rPr>
            </w:pPr>
            <w:r w:rsidRPr="00054BA2">
              <w:rPr>
                <w:sz w:val="18"/>
                <w:lang w:val="fr-CA"/>
              </w:rPr>
              <w:t>Chirurgie</w:t>
            </w:r>
            <w:r w:rsidRPr="00554157">
              <w:rPr>
                <w:sz w:val="18"/>
                <w:lang w:val="fr-FR"/>
              </w:rPr>
              <w:t xml:space="preserve"> nasale récente / rhinoplastie (moins de 1 mois).</w:t>
            </w:r>
          </w:p>
        </w:tc>
      </w:tr>
      <w:tr w:rsidR="00054BA2" w:rsidRPr="00554157" w:rsidTr="00406A65">
        <w:trPr>
          <w:trHeight w:val="1179"/>
        </w:trPr>
        <w:tc>
          <w:tcPr>
            <w:tcW w:w="5000" w:type="pct"/>
          </w:tcPr>
          <w:p w:rsidR="00054BA2" w:rsidRPr="00554157" w:rsidRDefault="00054BA2" w:rsidP="00406A65">
            <w:pPr>
              <w:pStyle w:val="TableParagraph"/>
              <w:spacing w:before="54"/>
              <w:ind w:left="107"/>
              <w:rPr>
                <w:rFonts w:ascii="HelveticaNeueLT Std" w:hAnsi="HelveticaNeueLT Std"/>
                <w:b/>
                <w:sz w:val="18"/>
                <w:lang w:val="fr-FR"/>
              </w:rPr>
            </w:pPr>
            <w:r>
              <w:rPr>
                <w:rFonts w:ascii="HelveticaNeueLT Std" w:hAnsi="HelveticaNeueLT Std"/>
                <w:b/>
                <w:sz w:val="18"/>
                <w:lang w:val="fr-FR"/>
              </w:rPr>
              <w:t>Directive</w:t>
            </w:r>
          </w:p>
          <w:p w:rsidR="00054BA2" w:rsidRPr="00554157" w:rsidRDefault="00054BA2" w:rsidP="00406A65">
            <w:pPr>
              <w:pStyle w:val="TableParagraph"/>
              <w:spacing w:before="54" w:after="120"/>
              <w:ind w:left="107"/>
              <w:rPr>
                <w:rFonts w:ascii="HelveticaNeueLT Std" w:hAnsi="HelveticaNeueLT Std"/>
                <w:sz w:val="18"/>
                <w:szCs w:val="20"/>
                <w:lang w:val="fr-FR"/>
              </w:rPr>
            </w:pPr>
            <w:r w:rsidRPr="00554157">
              <w:rPr>
                <w:rFonts w:ascii="HelveticaNeueLT Std" w:hAnsi="HelveticaNeueLT Std"/>
                <w:sz w:val="18"/>
                <w:szCs w:val="20"/>
                <w:lang w:val="fr-FR"/>
              </w:rPr>
              <w:t xml:space="preserve">Se référer aux méthodes de soins infirmiers </w:t>
            </w:r>
            <w:r w:rsidRPr="00554157">
              <w:rPr>
                <w:rFonts w:ascii="HelveticaNeueLT Std" w:hAnsi="HelveticaNeueLT Std"/>
                <w:sz w:val="18"/>
                <w:lang w:val="fr-FR"/>
              </w:rPr>
              <w:t>informatisés :</w:t>
            </w:r>
          </w:p>
          <w:p w:rsidR="00054BA2" w:rsidRPr="00054BA2" w:rsidRDefault="00054BA2" w:rsidP="00054BA2">
            <w:pPr>
              <w:pStyle w:val="Puce1"/>
              <w:spacing w:after="60" w:line="240" w:lineRule="auto"/>
              <w:ind w:left="421" w:hanging="284"/>
              <w:rPr>
                <w:sz w:val="18"/>
                <w:lang w:val="fr-CA"/>
              </w:rPr>
            </w:pPr>
            <w:r w:rsidRPr="00054BA2">
              <w:rPr>
                <w:sz w:val="18"/>
                <w:lang w:val="fr-CA"/>
              </w:rPr>
              <w:t>Prélèvement des sécrétions nasales avec un écouvillon velouteux (flocké).</w:t>
            </w:r>
          </w:p>
          <w:p w:rsidR="00054BA2" w:rsidRPr="00554157" w:rsidRDefault="00054BA2" w:rsidP="00054BA2">
            <w:pPr>
              <w:pStyle w:val="Puce1"/>
              <w:spacing w:after="0" w:line="240" w:lineRule="auto"/>
              <w:ind w:left="421" w:hanging="284"/>
              <w:rPr>
                <w:b/>
                <w:sz w:val="18"/>
                <w:lang w:val="fr-FR"/>
              </w:rPr>
            </w:pPr>
            <w:proofErr w:type="spellStart"/>
            <w:r w:rsidRPr="00F849B3">
              <w:rPr>
                <w:sz w:val="18"/>
              </w:rPr>
              <w:t>Prélèvement</w:t>
            </w:r>
            <w:proofErr w:type="spellEnd"/>
            <w:r w:rsidRPr="00F849B3">
              <w:rPr>
                <w:sz w:val="18"/>
              </w:rPr>
              <w:t xml:space="preserve"> des </w:t>
            </w:r>
            <w:proofErr w:type="spellStart"/>
            <w:r w:rsidRPr="00F849B3">
              <w:rPr>
                <w:sz w:val="18"/>
              </w:rPr>
              <w:t>sécrétions</w:t>
            </w:r>
            <w:proofErr w:type="spellEnd"/>
            <w:r w:rsidRPr="00F849B3">
              <w:rPr>
                <w:sz w:val="18"/>
              </w:rPr>
              <w:t xml:space="preserve"> </w:t>
            </w:r>
            <w:proofErr w:type="spellStart"/>
            <w:r w:rsidRPr="00F849B3">
              <w:rPr>
                <w:sz w:val="18"/>
              </w:rPr>
              <w:t>nasopharyngées</w:t>
            </w:r>
            <w:proofErr w:type="spellEnd"/>
            <w:r w:rsidRPr="00F849B3">
              <w:rPr>
                <w:sz w:val="18"/>
              </w:rPr>
              <w:t>.</w:t>
            </w:r>
          </w:p>
        </w:tc>
      </w:tr>
      <w:tr w:rsidR="00054BA2" w:rsidRPr="00554157" w:rsidTr="00406A65">
        <w:trPr>
          <w:trHeight w:val="1463"/>
        </w:trPr>
        <w:tc>
          <w:tcPr>
            <w:tcW w:w="5000" w:type="pct"/>
          </w:tcPr>
          <w:p w:rsidR="00054BA2" w:rsidRPr="00554157" w:rsidRDefault="00054BA2" w:rsidP="00406A65">
            <w:pPr>
              <w:pStyle w:val="TableParagraph"/>
              <w:spacing w:before="54"/>
              <w:ind w:left="107"/>
              <w:rPr>
                <w:rFonts w:ascii="HelveticaNeueLT Std" w:hAnsi="HelveticaNeueLT Std"/>
                <w:b/>
                <w:sz w:val="18"/>
                <w:lang w:val="fr-FR"/>
              </w:rPr>
            </w:pPr>
            <w:r w:rsidRPr="00554157">
              <w:rPr>
                <w:rFonts w:ascii="HelveticaNeueLT Std" w:hAnsi="HelveticaNeueLT Std"/>
                <w:b/>
                <w:sz w:val="18"/>
                <w:lang w:val="fr-FR"/>
              </w:rPr>
              <w:t>Médecin répondant</w:t>
            </w:r>
          </w:p>
          <w:p w:rsidR="00054BA2" w:rsidRPr="00554157" w:rsidRDefault="00054BA2" w:rsidP="00406A65">
            <w:pPr>
              <w:pStyle w:val="TableParagraph"/>
              <w:spacing w:before="54"/>
              <w:ind w:left="107"/>
              <w:rPr>
                <w:rFonts w:ascii="HelveticaNeueLT Std" w:hAnsi="HelveticaNeueLT Std"/>
                <w:sz w:val="18"/>
                <w:lang w:val="fr-FR"/>
              </w:rPr>
            </w:pPr>
            <w:r w:rsidRPr="00554157">
              <w:rPr>
                <w:rFonts w:ascii="HelveticaNeueLT Std" w:hAnsi="HelveticaNeueLT Std"/>
                <w:sz w:val="18"/>
                <w:lang w:val="fr-FR"/>
              </w:rPr>
              <w:t>De façon générale, pour tous les prélèvements effectués à l’admission, en cours d’hospitalisation, en hébergement ou en soins ambulatoires, le médecin répondant sera le médecin traitant ou le médecin de garde ou celui en charge de l’unité ou du service.</w:t>
            </w:r>
          </w:p>
        </w:tc>
      </w:tr>
      <w:tr w:rsidR="00054BA2" w:rsidRPr="00554157" w:rsidTr="00406A65">
        <w:trPr>
          <w:trHeight w:val="1463"/>
        </w:trPr>
        <w:tc>
          <w:tcPr>
            <w:tcW w:w="5000" w:type="pct"/>
          </w:tcPr>
          <w:p w:rsidR="00054BA2" w:rsidRPr="00554157" w:rsidRDefault="00054BA2" w:rsidP="00406A65">
            <w:pPr>
              <w:pStyle w:val="TableParagraph"/>
              <w:spacing w:before="54"/>
              <w:ind w:left="107"/>
              <w:rPr>
                <w:rFonts w:ascii="HelveticaNeueLT Std" w:hAnsi="HelveticaNeueLT Std"/>
                <w:b/>
                <w:sz w:val="18"/>
                <w:lang w:val="fr-FR"/>
              </w:rPr>
            </w:pPr>
            <w:r>
              <w:rPr>
                <w:rFonts w:ascii="HelveticaNeueLT Std" w:hAnsi="HelveticaNeueLT Std"/>
                <w:b/>
                <w:sz w:val="18"/>
                <w:lang w:val="fr-FR"/>
              </w:rPr>
              <w:t>Référence</w:t>
            </w:r>
          </w:p>
        </w:tc>
      </w:tr>
    </w:tbl>
    <w:p w:rsidR="00054BA2" w:rsidRDefault="00054BA2"/>
    <w:p w:rsidR="00054BA2" w:rsidRDefault="00054BA2"/>
    <w:p w:rsidR="00054BA2" w:rsidRDefault="00054BA2">
      <w:bookmarkStart w:id="0" w:name="_GoBack"/>
      <w:bookmarkEnd w:id="0"/>
    </w:p>
    <w:sectPr w:rsidR="00054BA2" w:rsidSect="000524A7">
      <w:headerReference w:type="even" r:id="rId10"/>
      <w:pgSz w:w="12240" w:h="15840"/>
      <w:pgMar w:top="1418" w:right="720" w:bottom="1134" w:left="720"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BA2" w:rsidRDefault="00054BA2" w:rsidP="00054BA2">
      <w:pPr>
        <w:spacing w:after="0" w:line="240" w:lineRule="auto"/>
      </w:pPr>
      <w:r>
        <w:separator/>
      </w:r>
    </w:p>
  </w:endnote>
  <w:endnote w:type="continuationSeparator" w:id="0">
    <w:p w:rsidR="00054BA2" w:rsidRDefault="00054BA2" w:rsidP="0005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 w:name="Raleway">
    <w:panose1 w:val="020B0003030101060003"/>
    <w:charset w:val="00"/>
    <w:family w:val="swiss"/>
    <w:notTrueType/>
    <w:pitch w:val="variable"/>
    <w:sig w:usb0="A00000BF" w:usb1="50000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4A7" w:rsidRPr="000524A7" w:rsidRDefault="00977961" w:rsidP="000524A7">
    <w:pPr>
      <w:pStyle w:val="Pieddepage"/>
      <w:tabs>
        <w:tab w:val="clear" w:pos="4703"/>
        <w:tab w:val="clear" w:pos="9406"/>
        <w:tab w:val="right" w:pos="10773"/>
      </w:tabs>
    </w:pPr>
    <w:r w:rsidRPr="000524A7">
      <w:rPr>
        <w:sz w:val="16"/>
      </w:rPr>
      <w:t>Institut national de santé publique du Québec</w:t>
    </w:r>
    <w:r>
      <w:rPr>
        <w:sz w:val="16"/>
      </w:rPr>
      <w:tab/>
    </w:r>
    <w:r w:rsidR="000524A7" w:rsidRPr="000524A7">
      <w:rPr>
        <w:sz w:val="16"/>
      </w:rPr>
      <w:fldChar w:fldCharType="begin"/>
    </w:r>
    <w:r w:rsidR="000524A7" w:rsidRPr="000524A7">
      <w:rPr>
        <w:sz w:val="16"/>
      </w:rPr>
      <w:instrText>PAGE   \* MERGEFORMAT</w:instrText>
    </w:r>
    <w:r w:rsidR="000524A7" w:rsidRPr="000524A7">
      <w:rPr>
        <w:sz w:val="16"/>
      </w:rPr>
      <w:fldChar w:fldCharType="separate"/>
    </w:r>
    <w:r w:rsidRPr="00977961">
      <w:rPr>
        <w:noProof/>
        <w:sz w:val="16"/>
        <w:lang w:val="fr-FR"/>
      </w:rPr>
      <w:t>2</w:t>
    </w:r>
    <w:r w:rsidR="000524A7" w:rsidRPr="000524A7">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4A7" w:rsidRPr="000524A7" w:rsidRDefault="000524A7" w:rsidP="000524A7">
    <w:pPr>
      <w:pStyle w:val="Pieddepage"/>
      <w:tabs>
        <w:tab w:val="clear" w:pos="4703"/>
        <w:tab w:val="clear" w:pos="9406"/>
        <w:tab w:val="right" w:pos="10773"/>
      </w:tabs>
      <w:rPr>
        <w:sz w:val="16"/>
      </w:rPr>
    </w:pPr>
    <w:r w:rsidRPr="000524A7">
      <w:rPr>
        <w:sz w:val="16"/>
      </w:rPr>
      <w:t>Institut national de santé publique du Québec</w:t>
    </w:r>
    <w:r w:rsidRPr="000524A7">
      <w:rPr>
        <w:sz w:val="16"/>
      </w:rPr>
      <w:tab/>
    </w:r>
    <w:r w:rsidRPr="000524A7">
      <w:rPr>
        <w:sz w:val="16"/>
      </w:rPr>
      <w:fldChar w:fldCharType="begin"/>
    </w:r>
    <w:r w:rsidRPr="000524A7">
      <w:rPr>
        <w:sz w:val="16"/>
      </w:rPr>
      <w:instrText>PAGE   \* MERGEFORMAT</w:instrText>
    </w:r>
    <w:r w:rsidRPr="000524A7">
      <w:rPr>
        <w:sz w:val="16"/>
      </w:rPr>
      <w:fldChar w:fldCharType="separate"/>
    </w:r>
    <w:r w:rsidR="00977961" w:rsidRPr="00977961">
      <w:rPr>
        <w:noProof/>
        <w:sz w:val="16"/>
        <w:lang w:val="fr-FR"/>
      </w:rPr>
      <w:t>1</w:t>
    </w:r>
    <w:r w:rsidRPr="000524A7">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BA2" w:rsidRDefault="00054BA2" w:rsidP="00054BA2">
      <w:pPr>
        <w:spacing w:after="0" w:line="240" w:lineRule="auto"/>
      </w:pPr>
      <w:r>
        <w:separator/>
      </w:r>
    </w:p>
  </w:footnote>
  <w:footnote w:type="continuationSeparator" w:id="0">
    <w:p w:rsidR="00054BA2" w:rsidRDefault="00054BA2" w:rsidP="00054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BA2" w:rsidRDefault="00054BA2" w:rsidP="00054BA2">
    <w:pPr>
      <w:pStyle w:val="En-tte"/>
      <w:jc w:val="right"/>
    </w:pPr>
    <w:r w:rsidRPr="00B15B26">
      <w:t>Mesures de prévention et de contrôle des virus respiratoires, incluant l’influenza, dans les milieux de soins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961" w:rsidRDefault="00977961" w:rsidP="00977961">
    <w:pPr>
      <w:pStyle w:val="En-tte"/>
      <w:jc w:val="right"/>
    </w:pPr>
    <w:r w:rsidRPr="00B15B26">
      <w:t>Mesures de prévention et de contrôle des virus respiratoires, incluant l’influenza, dans les milieux de soins</w:t>
    </w:r>
    <w:r>
      <w:t xml:space="preserve"> : </w:t>
    </w:r>
    <w:r>
      <w:br/>
      <w:t xml:space="preserve">ordonnance collective – Initier un prélèvement </w:t>
    </w:r>
    <w:proofErr w:type="spellStart"/>
    <w:r>
      <w:t>nasopharyngé</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97B"/>
    <w:multiLevelType w:val="hybridMultilevel"/>
    <w:tmpl w:val="069AA1CE"/>
    <w:lvl w:ilvl="0" w:tplc="E3700286">
      <w:start w:val="1"/>
      <w:numFmt w:val="decimal"/>
      <w:lvlText w:val="%1."/>
      <w:lvlJc w:val="left"/>
      <w:pPr>
        <w:ind w:left="424" w:hanging="317"/>
      </w:pPr>
      <w:rPr>
        <w:rFonts w:ascii="Arial" w:eastAsia="Arial" w:hAnsi="Arial" w:cs="Arial" w:hint="default"/>
        <w:spacing w:val="-1"/>
        <w:w w:val="99"/>
        <w:sz w:val="20"/>
        <w:szCs w:val="20"/>
      </w:rPr>
    </w:lvl>
    <w:lvl w:ilvl="1" w:tplc="0AD26548">
      <w:numFmt w:val="bullet"/>
      <w:lvlText w:val="•"/>
      <w:lvlJc w:val="left"/>
      <w:pPr>
        <w:ind w:left="1326" w:hanging="317"/>
      </w:pPr>
      <w:rPr>
        <w:rFonts w:hint="default"/>
      </w:rPr>
    </w:lvl>
    <w:lvl w:ilvl="2" w:tplc="FA0407EE">
      <w:numFmt w:val="bullet"/>
      <w:lvlText w:val="•"/>
      <w:lvlJc w:val="left"/>
      <w:pPr>
        <w:ind w:left="2233" w:hanging="317"/>
      </w:pPr>
      <w:rPr>
        <w:rFonts w:hint="default"/>
      </w:rPr>
    </w:lvl>
    <w:lvl w:ilvl="3" w:tplc="B822A3E8">
      <w:numFmt w:val="bullet"/>
      <w:lvlText w:val="•"/>
      <w:lvlJc w:val="left"/>
      <w:pPr>
        <w:ind w:left="3140" w:hanging="317"/>
      </w:pPr>
      <w:rPr>
        <w:rFonts w:hint="default"/>
      </w:rPr>
    </w:lvl>
    <w:lvl w:ilvl="4" w:tplc="6F90819E">
      <w:numFmt w:val="bullet"/>
      <w:lvlText w:val="•"/>
      <w:lvlJc w:val="left"/>
      <w:pPr>
        <w:ind w:left="4047" w:hanging="317"/>
      </w:pPr>
      <w:rPr>
        <w:rFonts w:hint="default"/>
      </w:rPr>
    </w:lvl>
    <w:lvl w:ilvl="5" w:tplc="2CD2CBC6">
      <w:numFmt w:val="bullet"/>
      <w:lvlText w:val="•"/>
      <w:lvlJc w:val="left"/>
      <w:pPr>
        <w:ind w:left="4954" w:hanging="317"/>
      </w:pPr>
      <w:rPr>
        <w:rFonts w:hint="default"/>
      </w:rPr>
    </w:lvl>
    <w:lvl w:ilvl="6" w:tplc="E8E417A8">
      <w:numFmt w:val="bullet"/>
      <w:lvlText w:val="•"/>
      <w:lvlJc w:val="left"/>
      <w:pPr>
        <w:ind w:left="5861" w:hanging="317"/>
      </w:pPr>
      <w:rPr>
        <w:rFonts w:hint="default"/>
      </w:rPr>
    </w:lvl>
    <w:lvl w:ilvl="7" w:tplc="CAF2359E">
      <w:numFmt w:val="bullet"/>
      <w:lvlText w:val="•"/>
      <w:lvlJc w:val="left"/>
      <w:pPr>
        <w:ind w:left="6768" w:hanging="317"/>
      </w:pPr>
      <w:rPr>
        <w:rFonts w:hint="default"/>
      </w:rPr>
    </w:lvl>
    <w:lvl w:ilvl="8" w:tplc="482ACF5A">
      <w:numFmt w:val="bullet"/>
      <w:lvlText w:val="•"/>
      <w:lvlJc w:val="left"/>
      <w:pPr>
        <w:ind w:left="7675" w:hanging="317"/>
      </w:pPr>
      <w:rPr>
        <w:rFonts w:hint="default"/>
      </w:rPr>
    </w:lvl>
  </w:abstractNum>
  <w:abstractNum w:abstractNumId="1" w15:restartNumberingAfterBreak="0">
    <w:nsid w:val="7DA43E99"/>
    <w:multiLevelType w:val="hybridMultilevel"/>
    <w:tmpl w:val="74960DBC"/>
    <w:lvl w:ilvl="0" w:tplc="E8162A9C">
      <w:start w:val="1"/>
      <w:numFmt w:val="bullet"/>
      <w:pStyle w:val="Puce1"/>
      <w:lvlText w:val=""/>
      <w:lvlJc w:val="left"/>
      <w:pPr>
        <w:ind w:left="720" w:hanging="360"/>
      </w:pPr>
      <w:rPr>
        <w:rFonts w:ascii="Wingdings" w:hAnsi="Wingdings" w:hint="default"/>
        <w:color w:val="EF7516"/>
        <w:sz w:val="22"/>
        <w:u w:color="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A2"/>
    <w:rsid w:val="000524A7"/>
    <w:rsid w:val="000541C3"/>
    <w:rsid w:val="00054BA2"/>
    <w:rsid w:val="004A5F78"/>
    <w:rsid w:val="00977961"/>
    <w:rsid w:val="00E074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85EBB30-BBCF-48F4-A2B8-F501A7B0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5F78"/>
    <w:pPr>
      <w:spacing w:after="160" w:line="259" w:lineRule="auto"/>
    </w:pPr>
    <w:rPr>
      <w:rFonts w:ascii="HelveticaNeueLT Std" w:hAnsi="HelveticaNeueLT Std"/>
      <w:sz w:val="18"/>
    </w:rPr>
  </w:style>
  <w:style w:type="paragraph" w:styleId="Titre1">
    <w:name w:val="heading 1"/>
    <w:basedOn w:val="Normal"/>
    <w:next w:val="Normal"/>
    <w:link w:val="Titre1Car"/>
    <w:uiPriority w:val="9"/>
    <w:rsid w:val="00054BA2"/>
    <w:pPr>
      <w:keepNext/>
      <w:keepLines/>
      <w:spacing w:after="240" w:line="240" w:lineRule="auto"/>
      <w:outlineLvl w:val="0"/>
    </w:pPr>
    <w:rPr>
      <w:rFonts w:ascii="Raleway" w:eastAsiaTheme="majorEastAsia" w:hAnsi="Raleway" w:cstheme="majorBidi"/>
      <w:b/>
      <w:bCs/>
      <w:color w:val="EF7516"/>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4BA2"/>
    <w:pPr>
      <w:tabs>
        <w:tab w:val="center" w:pos="4703"/>
        <w:tab w:val="right" w:pos="9406"/>
      </w:tabs>
      <w:spacing w:after="0" w:line="240" w:lineRule="auto"/>
    </w:pPr>
  </w:style>
  <w:style w:type="character" w:customStyle="1" w:styleId="En-tteCar">
    <w:name w:val="En-tête Car"/>
    <w:basedOn w:val="Policepardfaut"/>
    <w:link w:val="En-tte"/>
    <w:uiPriority w:val="99"/>
    <w:rsid w:val="00054BA2"/>
    <w:rPr>
      <w:rFonts w:ascii="HelveticaNeueLT Std" w:hAnsi="HelveticaNeueLT Std"/>
      <w:sz w:val="18"/>
    </w:rPr>
  </w:style>
  <w:style w:type="paragraph" w:styleId="Pieddepage">
    <w:name w:val="footer"/>
    <w:basedOn w:val="Normal"/>
    <w:link w:val="PieddepageCar"/>
    <w:uiPriority w:val="99"/>
    <w:unhideWhenUsed/>
    <w:rsid w:val="00054BA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54BA2"/>
    <w:rPr>
      <w:rFonts w:ascii="HelveticaNeueLT Std" w:hAnsi="HelveticaNeueLT Std"/>
      <w:sz w:val="18"/>
    </w:rPr>
  </w:style>
  <w:style w:type="character" w:customStyle="1" w:styleId="Titre1Car">
    <w:name w:val="Titre 1 Car"/>
    <w:basedOn w:val="Policepardfaut"/>
    <w:link w:val="Titre1"/>
    <w:uiPriority w:val="9"/>
    <w:rsid w:val="00054BA2"/>
    <w:rPr>
      <w:rFonts w:ascii="Raleway" w:eastAsiaTheme="majorEastAsia" w:hAnsi="Raleway" w:cstheme="majorBidi"/>
      <w:b/>
      <w:bCs/>
      <w:color w:val="EF7516"/>
      <w:sz w:val="32"/>
      <w:szCs w:val="28"/>
    </w:rPr>
  </w:style>
  <w:style w:type="table" w:customStyle="1" w:styleId="TableNormal">
    <w:name w:val="Table Normal"/>
    <w:uiPriority w:val="2"/>
    <w:semiHidden/>
    <w:unhideWhenUsed/>
    <w:qFormat/>
    <w:rsid w:val="00054BA2"/>
    <w:pPr>
      <w:widowControl w:val="0"/>
      <w:autoSpaceDE w:val="0"/>
      <w:autoSpaceDN w:val="0"/>
    </w:pPr>
    <w:rPr>
      <w:rFonts w:asciiTheme="minorHAnsi" w:hAnsi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54BA2"/>
    <w:pPr>
      <w:widowControl w:val="0"/>
      <w:autoSpaceDE w:val="0"/>
      <w:autoSpaceDN w:val="0"/>
      <w:spacing w:after="0" w:line="240" w:lineRule="auto"/>
      <w:ind w:left="69"/>
    </w:pPr>
    <w:rPr>
      <w:rFonts w:ascii="Arial" w:eastAsia="Arial" w:hAnsi="Arial" w:cs="Arial"/>
      <w:sz w:val="22"/>
      <w:lang w:val="en-US"/>
    </w:rPr>
  </w:style>
  <w:style w:type="paragraph" w:customStyle="1" w:styleId="Puce1">
    <w:name w:val="Puce 1"/>
    <w:basedOn w:val="Corpsdetexte"/>
    <w:qFormat/>
    <w:rsid w:val="00054BA2"/>
    <w:pPr>
      <w:numPr>
        <w:numId w:val="1"/>
      </w:numPr>
      <w:spacing w:line="264" w:lineRule="auto"/>
    </w:pPr>
    <w:rPr>
      <w:sz w:val="20"/>
    </w:rPr>
  </w:style>
  <w:style w:type="paragraph" w:styleId="Corpsdetexte">
    <w:name w:val="Body Text"/>
    <w:basedOn w:val="Normal"/>
    <w:link w:val="CorpsdetexteCar"/>
    <w:uiPriority w:val="99"/>
    <w:semiHidden/>
    <w:unhideWhenUsed/>
    <w:rsid w:val="00054BA2"/>
    <w:pPr>
      <w:spacing w:after="120"/>
    </w:pPr>
  </w:style>
  <w:style w:type="character" w:customStyle="1" w:styleId="CorpsdetexteCar">
    <w:name w:val="Corps de texte Car"/>
    <w:basedOn w:val="Policepardfaut"/>
    <w:link w:val="Corpsdetexte"/>
    <w:uiPriority w:val="99"/>
    <w:semiHidden/>
    <w:rsid w:val="00054BA2"/>
    <w:rPr>
      <w:rFonts w:ascii="HelveticaNeueLT Std" w:hAnsi="HelveticaNeueLT Std"/>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470</Words>
  <Characters>2587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INSPQ</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St-Onge</dc:creator>
  <cp:keywords/>
  <dc:description/>
  <cp:lastModifiedBy>Isabelle Gignac</cp:lastModifiedBy>
  <cp:revision>3</cp:revision>
  <dcterms:created xsi:type="dcterms:W3CDTF">2018-11-23T14:39:00Z</dcterms:created>
  <dcterms:modified xsi:type="dcterms:W3CDTF">2018-12-03T15:03:00Z</dcterms:modified>
</cp:coreProperties>
</file>