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01"/>
        <w:gridCol w:w="7955"/>
      </w:tblGrid>
      <w:tr w:rsidR="00356AD6" w:rsidRPr="001904D1" w14:paraId="65C5667A" w14:textId="77777777" w:rsidTr="00320AE7">
        <w:tc>
          <w:tcPr>
            <w:tcW w:w="1401" w:type="dxa"/>
          </w:tcPr>
          <w:p w14:paraId="643A32E2" w14:textId="77777777" w:rsidR="00356AD6" w:rsidRPr="001904D1" w:rsidRDefault="00356AD6" w:rsidP="00CF70A5">
            <w:pPr>
              <w:rPr>
                <w:szCs w:val="20"/>
              </w:rPr>
            </w:pPr>
            <w:bookmarkStart w:id="0" w:name="_GoBack"/>
            <w:bookmarkEnd w:id="0"/>
            <w:r w:rsidRPr="001904D1">
              <w:rPr>
                <w:szCs w:val="20"/>
              </w:rPr>
              <w:t xml:space="preserve">Rédigé par : </w:t>
            </w:r>
          </w:p>
        </w:tc>
        <w:tc>
          <w:tcPr>
            <w:tcW w:w="7955" w:type="dxa"/>
            <w:tcBorders>
              <w:bottom w:val="single" w:sz="4" w:space="0" w:color="auto"/>
            </w:tcBorders>
            <w:vAlign w:val="bottom"/>
          </w:tcPr>
          <w:p w14:paraId="1048D080" w14:textId="77777777" w:rsidR="00356AD6" w:rsidRDefault="00C73518" w:rsidP="00CF70A5">
            <w:pPr>
              <w:rPr>
                <w:szCs w:val="20"/>
              </w:rPr>
            </w:pPr>
            <w:r w:rsidRPr="00C73518">
              <w:rPr>
                <w:szCs w:val="20"/>
              </w:rPr>
              <w:t>Jeannot Dumaresq</w:t>
            </w:r>
          </w:p>
          <w:p w14:paraId="27BF023B" w14:textId="54738A8D" w:rsidR="00011687" w:rsidRPr="001904D1" w:rsidRDefault="00011687" w:rsidP="00CF70A5">
            <w:pPr>
              <w:rPr>
                <w:szCs w:val="20"/>
              </w:rPr>
            </w:pPr>
            <w:r>
              <w:rPr>
                <w:szCs w:val="20"/>
              </w:rPr>
              <w:t>Alexis Danylo</w:t>
            </w:r>
          </w:p>
        </w:tc>
      </w:tr>
      <w:tr w:rsidR="00356AD6" w:rsidRPr="001904D1" w14:paraId="6E74F6FD" w14:textId="77777777" w:rsidTr="00320AE7">
        <w:tc>
          <w:tcPr>
            <w:tcW w:w="1401" w:type="dxa"/>
          </w:tcPr>
          <w:p w14:paraId="60F93660" w14:textId="77777777" w:rsidR="00356AD6" w:rsidRPr="001904D1" w:rsidRDefault="00356AD6" w:rsidP="00CF70A5">
            <w:pPr>
              <w:rPr>
                <w:szCs w:val="20"/>
              </w:rPr>
            </w:pPr>
            <w:r w:rsidRPr="001904D1">
              <w:rPr>
                <w:szCs w:val="20"/>
              </w:rPr>
              <w:t>Révisé par :</w:t>
            </w: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FBD5" w14:textId="7DC8FF8C" w:rsidR="00356AD6" w:rsidRPr="001904D1" w:rsidRDefault="00CE31A4" w:rsidP="00C01DD7">
            <w:pPr>
              <w:rPr>
                <w:szCs w:val="20"/>
              </w:rPr>
            </w:pPr>
            <w:r>
              <w:rPr>
                <w:szCs w:val="20"/>
              </w:rPr>
              <w:t>Jeannot Dumaresq</w:t>
            </w:r>
          </w:p>
        </w:tc>
      </w:tr>
    </w:tbl>
    <w:p w14:paraId="2297C2F6" w14:textId="77777777" w:rsidR="00C01DD7" w:rsidRDefault="00C01DD7" w:rsidP="00C01DD7">
      <w:pPr>
        <w:sectPr w:rsidR="00C01DD7" w:rsidSect="00980A0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171" w:right="1440" w:bottom="1135" w:left="1440" w:header="709" w:footer="283" w:gutter="0"/>
          <w:cols w:space="708"/>
          <w:docGrid w:linePitch="360"/>
        </w:sectPr>
      </w:pPr>
    </w:p>
    <w:p w14:paraId="331F2897" w14:textId="77777777" w:rsidR="00364034" w:rsidRDefault="00C01DD7" w:rsidP="006E7EAB">
      <w:pPr>
        <w:pStyle w:val="Titre1"/>
      </w:pPr>
      <w:r>
        <w:t>Objectif / but de l’analyse</w:t>
      </w:r>
    </w:p>
    <w:p w14:paraId="1E65C738" w14:textId="77777777" w:rsidR="00C73518" w:rsidRPr="00E81708" w:rsidRDefault="00C73518" w:rsidP="00E81708">
      <w:pPr>
        <w:pStyle w:val="Corpsdetexte"/>
        <w:spacing w:after="120"/>
        <w:rPr>
          <w:sz w:val="22"/>
        </w:rPr>
      </w:pPr>
      <w:r w:rsidRPr="00E81708">
        <w:rPr>
          <w:sz w:val="22"/>
        </w:rPr>
        <w:t>Cette procédure s’applique uniquement aux bouteilles d’hémocultures positives remplissant les conditions suivantes :</w:t>
      </w:r>
    </w:p>
    <w:p w14:paraId="3E7DD43F" w14:textId="65789120" w:rsidR="00E81708" w:rsidRPr="00E81708" w:rsidRDefault="00C73518" w:rsidP="00E81708">
      <w:pPr>
        <w:pStyle w:val="Paragraphedeliste"/>
        <w:keepNext/>
        <w:numPr>
          <w:ilvl w:val="0"/>
          <w:numId w:val="35"/>
        </w:numPr>
        <w:spacing w:after="60"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>
        <w:t>•</w:t>
      </w:r>
      <w:r w:rsidR="00E81708"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La bouteille a été ensemencée avec du </w:t>
      </w:r>
      <w:r w:rsidR="00E81708"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sang</w:t>
      </w:r>
      <w:r w:rsidR="00E81708"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, du </w:t>
      </w:r>
      <w:r w:rsidR="00E81708"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 xml:space="preserve">liquide synovial </w:t>
      </w:r>
      <w:r w:rsidR="00E81708"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(articulaire ou de bourse), ou du liquide </w:t>
      </w:r>
      <w:r w:rsidR="00E81708"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pleural</w:t>
      </w:r>
      <w:r w:rsidR="00E81708" w:rsidRPr="00E81708">
        <w:rPr>
          <w:rFonts w:ascii="Arial" w:eastAsia="Times New Roman" w:hAnsi="Arial" w:cs="Arial"/>
          <w:sz w:val="22"/>
          <w:szCs w:val="24"/>
          <w:lang w:eastAsia="fr-CA"/>
        </w:rPr>
        <w:t>;</w:t>
      </w:r>
    </w:p>
    <w:p w14:paraId="7C445B89" w14:textId="77777777" w:rsidR="00E81708" w:rsidRPr="00E81708" w:rsidRDefault="00E81708" w:rsidP="00E81708">
      <w:pPr>
        <w:keepNext/>
        <w:numPr>
          <w:ilvl w:val="0"/>
          <w:numId w:val="35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La coloration de Gram révèle la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présence non équivoque d’un morphotype bactérien unique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>.</w:t>
      </w:r>
    </w:p>
    <w:p w14:paraId="368FBF10" w14:textId="77777777" w:rsidR="00364034" w:rsidRDefault="00364034" w:rsidP="006E7EAB">
      <w:pPr>
        <w:pStyle w:val="Titre1"/>
      </w:pPr>
      <w:r w:rsidRPr="00364034">
        <w:t>Principe de la méthode / co</w:t>
      </w:r>
      <w:r w:rsidR="00C01DD7">
        <w:t>ntexte / domaine d’application</w:t>
      </w:r>
    </w:p>
    <w:p w14:paraId="207B06DA" w14:textId="77777777" w:rsidR="00E81708" w:rsidRPr="00E81708" w:rsidRDefault="00E81708" w:rsidP="00E81708">
      <w:pPr>
        <w:keepNext/>
        <w:spacing w:after="60"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Les bouteilles d’hémocultures positives avec une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coloration de Gram homogène (un seul morphotype bactérien)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sont traitées comme suit : </w:t>
      </w:r>
    </w:p>
    <w:p w14:paraId="2AC2AD91" w14:textId="77777777" w:rsidR="00E81708" w:rsidRPr="00E81708" w:rsidRDefault="00E81708" w:rsidP="00E81708">
      <w:pPr>
        <w:keepNext/>
        <w:numPr>
          <w:ilvl w:val="0"/>
          <w:numId w:val="36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Sous-culture sur 1 gélose chocolat supplémentaire avec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5 gouttes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>.</w:t>
      </w:r>
    </w:p>
    <w:p w14:paraId="09895B63" w14:textId="77777777" w:rsidR="00E81708" w:rsidRPr="00E81708" w:rsidRDefault="00E81708" w:rsidP="00E81708">
      <w:pPr>
        <w:keepNext/>
        <w:numPr>
          <w:ilvl w:val="0"/>
          <w:numId w:val="36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noProof/>
          <w:sz w:val="22"/>
          <w:szCs w:val="24"/>
          <w:lang w:eastAsia="fr-CA"/>
        </w:rPr>
        <w:drawing>
          <wp:anchor distT="0" distB="71755" distL="114300" distR="114300" simplePos="0" relativeHeight="251659264" behindDoc="0" locked="0" layoutInCell="1" allowOverlap="1" wp14:anchorId="3AC8599F" wp14:editId="3322EFCB">
            <wp:simplePos x="0" y="0"/>
            <wp:positionH relativeFrom="margin">
              <wp:posOffset>2016125</wp:posOffset>
            </wp:positionH>
            <wp:positionV relativeFrom="margin">
              <wp:posOffset>4430590</wp:posOffset>
            </wp:positionV>
            <wp:extent cx="2822400" cy="835200"/>
            <wp:effectExtent l="0" t="0" r="0" b="317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8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>Déposer les gouttes au même endroit dans l’équivalent d’un seul quadrant, et étaler sur l’ensemble de la gélose  avec une anse stérile dans 2 sens perpendiculaires :</w:t>
      </w:r>
    </w:p>
    <w:p w14:paraId="758391EB" w14:textId="77777777" w:rsidR="00E81708" w:rsidRPr="00E81708" w:rsidRDefault="00E81708" w:rsidP="00E81708">
      <w:pPr>
        <w:keepNext/>
        <w:numPr>
          <w:ilvl w:val="0"/>
          <w:numId w:val="38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>Incuber les géloses dans une étuve à 35 ± 2°C.</w:t>
      </w:r>
    </w:p>
    <w:p w14:paraId="5381E3F9" w14:textId="77777777" w:rsidR="00E81708" w:rsidRPr="00E81708" w:rsidRDefault="00E81708" w:rsidP="00E81708">
      <w:pPr>
        <w:keepNext/>
        <w:numPr>
          <w:ilvl w:val="0"/>
          <w:numId w:val="37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Pour les bactéries à </w:t>
      </w:r>
      <w:r w:rsidRPr="00E81708">
        <w:rPr>
          <w:rFonts w:ascii="Arial" w:eastAsia="Times New Roman" w:hAnsi="Arial" w:cs="Arial"/>
          <w:b/>
          <w:sz w:val="22"/>
          <w:szCs w:val="24"/>
          <w:u w:val="single"/>
          <w:lang w:eastAsia="fr-CA"/>
        </w:rPr>
        <w:t>Gram négatif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> :</w:t>
      </w:r>
    </w:p>
    <w:p w14:paraId="3913AE2F" w14:textId="77777777" w:rsidR="00E81708" w:rsidRPr="00E81708" w:rsidRDefault="00E81708" w:rsidP="00E81708">
      <w:pPr>
        <w:keepNext/>
        <w:numPr>
          <w:ilvl w:val="0"/>
          <w:numId w:val="39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Procéder à l’identification rapide seulement pour </w:t>
      </w:r>
      <w:r w:rsidRPr="00E81708">
        <w:rPr>
          <w:rFonts w:ascii="Arial" w:eastAsia="Times New Roman" w:hAnsi="Arial" w:cs="Arial"/>
          <w:sz w:val="22"/>
          <w:szCs w:val="24"/>
          <w:u w:val="single"/>
          <w:lang w:eastAsia="fr-CA"/>
        </w:rPr>
        <w:t>une série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d’hémoculture </w:t>
      </w:r>
      <w:r w:rsidRPr="00E81708">
        <w:rPr>
          <w:rFonts w:ascii="Arial" w:eastAsia="Times New Roman" w:hAnsi="Arial" w:cs="Arial"/>
          <w:sz w:val="22"/>
          <w:szCs w:val="24"/>
          <w:u w:val="single"/>
          <w:lang w:eastAsia="fr-CA"/>
        </w:rPr>
        <w:t>par jour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>.</w:t>
      </w:r>
    </w:p>
    <w:p w14:paraId="430E1C0A" w14:textId="77777777" w:rsidR="00E81708" w:rsidRPr="00E81708" w:rsidRDefault="00E81708" w:rsidP="00E81708">
      <w:pPr>
        <w:keepNext/>
        <w:numPr>
          <w:ilvl w:val="0"/>
          <w:numId w:val="39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Après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2 heures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d’incubation,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seulement si un tapis de croissance bactérienne est visible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, écouvillonner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le centre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de la gélose en faisant un passage (une strie) à l'aide d'une anse en plastique, anse qui est ensuite appliquée sur un puits d'une plaque VITEK MS. S'il n'y a aucun matériel visible sur le puits, un autre passage sur la gélose est effectué avant d'appliquer à nouveau l'anse sur le puits de la plaque 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lastRenderedPageBreak/>
        <w:t>VITEK MS. Cette étape est répétée, au besoin, jusqu'à ce que du matériel soit visible sur le puits.</w:t>
      </w:r>
    </w:p>
    <w:p w14:paraId="0F5672BE" w14:textId="77777777" w:rsidR="00E81708" w:rsidRPr="00E81708" w:rsidRDefault="00E81708" w:rsidP="00E81708">
      <w:pPr>
        <w:keepNext/>
        <w:numPr>
          <w:ilvl w:val="0"/>
          <w:numId w:val="39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Si aucune croissance n’est visible ou si l’identification échoue à 2 reprises avec le VITEK MS après 2 heures d’incubation, répéter l’étape précédente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après 4 heures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d’incubation.</w:t>
      </w:r>
    </w:p>
    <w:p w14:paraId="027CA4F7" w14:textId="77777777" w:rsidR="00E81708" w:rsidRPr="00E81708" w:rsidRDefault="00E81708" w:rsidP="00E81708">
      <w:pPr>
        <w:keepNext/>
        <w:numPr>
          <w:ilvl w:val="0"/>
          <w:numId w:val="37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Pour les bactéries à </w:t>
      </w:r>
      <w:r w:rsidRPr="00E81708">
        <w:rPr>
          <w:rFonts w:ascii="Arial" w:eastAsia="Times New Roman" w:hAnsi="Arial" w:cs="Arial"/>
          <w:b/>
          <w:sz w:val="22"/>
          <w:szCs w:val="24"/>
          <w:u w:val="single"/>
          <w:lang w:eastAsia="fr-CA"/>
        </w:rPr>
        <w:t>Gram positif :</w:t>
      </w:r>
    </w:p>
    <w:p w14:paraId="02D14537" w14:textId="77777777" w:rsidR="00E81708" w:rsidRPr="00E81708" w:rsidRDefault="00E81708" w:rsidP="00E81708">
      <w:pPr>
        <w:keepNext/>
        <w:numPr>
          <w:ilvl w:val="0"/>
          <w:numId w:val="40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>Procéder à l’identification pour chaque série d’hémoculture.</w:t>
      </w:r>
    </w:p>
    <w:p w14:paraId="31590C46" w14:textId="77777777" w:rsidR="00E81708" w:rsidRPr="00E81708" w:rsidRDefault="00E81708" w:rsidP="00E81708">
      <w:pPr>
        <w:keepNext/>
        <w:numPr>
          <w:ilvl w:val="0"/>
          <w:numId w:val="40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Après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4 heures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d’incubation,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seulement si un tapis de croissance bactérienne est visible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, écouvillonner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le centre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de la gélose en faisant un passage (une strie) à l'aide d'une anse en plastique, anse qui est ensuite appliquée sur un puits d'une plaque VITEK MS. S'il n'y a aucun matériel visible sur le puits, un autre passage sur la gélose est effectué avant d'appliquer à nouveau l'anse sur le puits de la plaque VITEK MS. Cette étape est répétée, au besoin, jusqu'à ce que du matériel soit visible sur le puits.</w:t>
      </w:r>
    </w:p>
    <w:p w14:paraId="4038BA3C" w14:textId="77777777" w:rsidR="00E81708" w:rsidRPr="00E81708" w:rsidRDefault="00E81708" w:rsidP="00E81708">
      <w:pPr>
        <w:keepNext/>
        <w:numPr>
          <w:ilvl w:val="0"/>
          <w:numId w:val="40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Si aucune croissance n’est visible ou si l’identification échoue à 2 reprises avec le VITEK MS après 4 heures d’incubation, répéter l’étape précédente après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8 heures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d’incubation.</w:t>
      </w:r>
    </w:p>
    <w:p w14:paraId="5B4D55B4" w14:textId="77777777" w:rsidR="00E81708" w:rsidRPr="00E81708" w:rsidRDefault="00E81708" w:rsidP="00E81708">
      <w:pPr>
        <w:keepNext/>
        <w:numPr>
          <w:ilvl w:val="0"/>
          <w:numId w:val="37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Si le résultat obtenu donne un degré de confiance inférieur à </w:t>
      </w:r>
      <w:r w:rsidRPr="00E81708">
        <w:rPr>
          <w:rFonts w:ascii="Arial" w:eastAsia="Times New Roman" w:hAnsi="Arial" w:cs="Arial"/>
          <w:b/>
          <w:sz w:val="22"/>
          <w:szCs w:val="24"/>
          <w:lang w:eastAsia="fr-CA"/>
        </w:rPr>
        <w:t>99.9%,</w:t>
      </w:r>
      <w:r w:rsidRPr="00E81708">
        <w:rPr>
          <w:rFonts w:ascii="Arial" w:eastAsia="Times New Roman" w:hAnsi="Arial" w:cs="Arial"/>
          <w:sz w:val="22"/>
          <w:szCs w:val="24"/>
          <w:lang w:eastAsia="fr-CA"/>
        </w:rPr>
        <w:t xml:space="preserve"> l’analyse est répétée une deuxième fois.</w:t>
      </w:r>
    </w:p>
    <w:p w14:paraId="40DDC64A" w14:textId="77777777" w:rsidR="00E81708" w:rsidRPr="00E81708" w:rsidRDefault="00E81708" w:rsidP="00E81708">
      <w:pPr>
        <w:keepNext/>
        <w:numPr>
          <w:ilvl w:val="0"/>
          <w:numId w:val="37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>S’assurer que le résultat obtenu concorde avec la coloration de Gram effectuée. Ne pas rapporter les résultats discordants et en aviser le microbiologiste de garde au laboratoire.</w:t>
      </w:r>
    </w:p>
    <w:p w14:paraId="170CCDF1" w14:textId="77777777" w:rsidR="00E81708" w:rsidRPr="00E81708" w:rsidRDefault="00E81708" w:rsidP="00E81708">
      <w:pPr>
        <w:keepNext/>
        <w:numPr>
          <w:ilvl w:val="0"/>
          <w:numId w:val="37"/>
        </w:numPr>
        <w:spacing w:after="60"/>
        <w:contextualSpacing/>
        <w:outlineLvl w:val="0"/>
        <w:rPr>
          <w:rFonts w:ascii="Arial" w:eastAsia="Times New Roman" w:hAnsi="Arial" w:cs="Arial"/>
          <w:sz w:val="22"/>
          <w:szCs w:val="24"/>
          <w:lang w:eastAsia="fr-CA"/>
        </w:rPr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>Envoyer immédiatement par télécopie un rapport préliminaire avec le nom de l’espèce tel qu’il doit être rapporté selon la liste de correspondance des espèces, avec le message suivant : « Identification préliminaire; confirmation et antibiogramme à venir. »</w:t>
      </w:r>
    </w:p>
    <w:p w14:paraId="06823ACF" w14:textId="77777777" w:rsidR="00E81708" w:rsidRPr="00BB1E43" w:rsidRDefault="00E81708" w:rsidP="00E81708">
      <w:pPr>
        <w:keepNext/>
        <w:numPr>
          <w:ilvl w:val="0"/>
          <w:numId w:val="37"/>
        </w:numPr>
        <w:spacing w:after="240"/>
        <w:contextualSpacing/>
        <w:outlineLvl w:val="0"/>
      </w:pPr>
      <w:r w:rsidRPr="00E81708">
        <w:rPr>
          <w:rFonts w:ascii="Arial" w:eastAsia="Times New Roman" w:hAnsi="Arial" w:cs="Arial"/>
          <w:sz w:val="22"/>
          <w:szCs w:val="24"/>
          <w:lang w:eastAsia="fr-CA"/>
        </w:rPr>
        <w:t>Aviser le microbiologiste de garde au laboratoire de toute discordance une fois l’identification définitive obtenue.</w:t>
      </w:r>
    </w:p>
    <w:p w14:paraId="3C2784D4" w14:textId="77777777" w:rsidR="00BC76FD" w:rsidRDefault="00BC76FD" w:rsidP="00BC76FD">
      <w:pPr>
        <w:pStyle w:val="Titre1"/>
      </w:pPr>
      <w:r w:rsidRPr="00E94CAB">
        <w:rPr>
          <w:iCs/>
        </w:rPr>
        <w:t>Précautions</w:t>
      </w:r>
      <w:r w:rsidRPr="00A6048D">
        <w:t xml:space="preserve"> / mesures de sécurité</w:t>
      </w:r>
    </w:p>
    <w:p w14:paraId="75417245" w14:textId="531F7F26" w:rsidR="00BB1E43" w:rsidRDefault="00BB1E43" w:rsidP="00BB1E43">
      <w:pPr>
        <w:pStyle w:val="Titre2"/>
      </w:pPr>
      <w:r>
        <w:t>Situations où une bactérie comportant des risques pour le personnel de laboratoire doit être suspectée :</w:t>
      </w:r>
    </w:p>
    <w:p w14:paraId="6AC9B700" w14:textId="77777777" w:rsidR="00BB1E43" w:rsidRPr="00BB1E43" w:rsidRDefault="00BB1E43" w:rsidP="00BB1E43">
      <w:pPr>
        <w:keepNext/>
        <w:numPr>
          <w:ilvl w:val="0"/>
          <w:numId w:val="37"/>
        </w:numPr>
        <w:spacing w:after="240"/>
        <w:contextualSpacing/>
        <w:outlineLvl w:val="0"/>
        <w:rPr>
          <w:rFonts w:ascii="Arial" w:hAnsi="Arial" w:cs="Arial"/>
          <w:sz w:val="22"/>
        </w:rPr>
      </w:pPr>
      <w:r w:rsidRPr="00BB1E43">
        <w:rPr>
          <w:rFonts w:ascii="Arial" w:hAnsi="Arial" w:cs="Arial"/>
          <w:sz w:val="22"/>
        </w:rPr>
        <w:t>Très petits coccobacilles Gram négatif qui ne montrent aucune croissance visible à l’œil nu sur la gélose chocolat après 4 heures d'incubation : sous une enceinte de sécurité biologique, il faut éliminer Brucella sp ou Francisella tularensis avant de procéder à l’identification par MALDI-TOF, en se référant au document du LSPQ "Suspicion de bactéries de groupe de risque 3 (GR3)", dont les fiches sont disponibles au laboratoire.</w:t>
      </w:r>
    </w:p>
    <w:p w14:paraId="577E779B" w14:textId="77777777" w:rsidR="00BB1E43" w:rsidRPr="00BB1E43" w:rsidRDefault="00BB1E43" w:rsidP="00BB1E43">
      <w:pPr>
        <w:keepNext/>
        <w:numPr>
          <w:ilvl w:val="0"/>
          <w:numId w:val="37"/>
        </w:numPr>
        <w:spacing w:after="240"/>
        <w:contextualSpacing/>
        <w:outlineLvl w:val="0"/>
        <w:rPr>
          <w:rFonts w:ascii="Arial" w:hAnsi="Arial" w:cs="Arial"/>
          <w:sz w:val="22"/>
        </w:rPr>
      </w:pPr>
      <w:r w:rsidRPr="00BB1E43">
        <w:rPr>
          <w:rFonts w:ascii="Arial" w:hAnsi="Arial" w:cs="Arial"/>
          <w:sz w:val="22"/>
        </w:rPr>
        <w:t>Gros bacilles Gram positif ou Gram variable détectés après moins de 24 heures d'incubation dans la bouteille d’hémoculture : sous une enceinte de sécurité biologique, il faut éliminer Bacillus anthracis avant de procéder à l’identification par MALDI-TOF, en se référant au document du LSPQ "Suspicion de bactéries de groupe de risque 3 (GR3)", dont les fiches sont disponibles au laboratoire.</w:t>
      </w:r>
    </w:p>
    <w:p w14:paraId="6EEC6801" w14:textId="3B197427" w:rsidR="00BB1E43" w:rsidRDefault="00BB1E43" w:rsidP="00E81708">
      <w:pPr>
        <w:keepNext/>
        <w:numPr>
          <w:ilvl w:val="0"/>
          <w:numId w:val="37"/>
        </w:numPr>
        <w:spacing w:after="240"/>
        <w:contextualSpacing/>
        <w:outlineLvl w:val="0"/>
        <w:rPr>
          <w:rFonts w:ascii="Arial" w:hAnsi="Arial" w:cs="Arial"/>
          <w:sz w:val="22"/>
        </w:rPr>
      </w:pPr>
      <w:r w:rsidRPr="00BB1E43">
        <w:rPr>
          <w:rFonts w:ascii="Arial" w:hAnsi="Arial" w:cs="Arial"/>
          <w:sz w:val="22"/>
        </w:rPr>
        <w:t>Cocci Gram négatif ou Gram variable : la préparation des lames pour identification par MALDI-TOF doit s’effectuer sous une enceinte de sécurité biologique car il pourrait s’agir d’un isolat de Neisseria meningitidis.</w:t>
      </w:r>
    </w:p>
    <w:p w14:paraId="5A89D7A7" w14:textId="77777777" w:rsidR="00BB1E43" w:rsidRDefault="00BB1E43">
      <w:p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A686261" w14:textId="4D16DC0F" w:rsidR="00364034" w:rsidRPr="00364034" w:rsidRDefault="00616EC7" w:rsidP="00E81708">
      <w:pPr>
        <w:pStyle w:val="Titre1"/>
      </w:pPr>
      <w:r>
        <w:lastRenderedPageBreak/>
        <w:t>Diffusion</w:t>
      </w:r>
    </w:p>
    <w:p w14:paraId="6192CFAB" w14:textId="77777777" w:rsidR="00364034" w:rsidRPr="00364034" w:rsidRDefault="00364034" w:rsidP="00616EC7">
      <w:pPr>
        <w:pStyle w:val="Corpsdetexte"/>
        <w:rPr>
          <w:rFonts w:eastAsia="Calibri"/>
        </w:rPr>
      </w:pPr>
      <w:r w:rsidRPr="00364034">
        <w:rPr>
          <w:rFonts w:eastAsia="Calibri"/>
        </w:rPr>
        <w:t>Selon les procédures de votre laboratoire.</w:t>
      </w:r>
    </w:p>
    <w:p w14:paraId="5835C84F" w14:textId="77777777" w:rsidR="00364034" w:rsidRPr="00425686" w:rsidRDefault="00364034" w:rsidP="00616EC7">
      <w:pPr>
        <w:pStyle w:val="Titre1"/>
      </w:pPr>
      <w:r w:rsidRPr="00425686">
        <w:t>Version</w:t>
      </w:r>
      <w:r w:rsidR="00850CF1" w:rsidRPr="00425686">
        <w:t>s</w:t>
      </w:r>
    </w:p>
    <w:tbl>
      <w:tblPr>
        <w:tblStyle w:val="Grilledutableau1"/>
        <w:tblW w:w="9351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99"/>
        <w:gridCol w:w="1674"/>
        <w:gridCol w:w="2237"/>
        <w:gridCol w:w="4341"/>
      </w:tblGrid>
      <w:tr w:rsidR="00E81708" w:rsidRPr="00EA0160" w14:paraId="13F61E02" w14:textId="77777777" w:rsidTr="00E8170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9DE5FE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  <w:b/>
              </w:rPr>
            </w:pPr>
            <w:r w:rsidRPr="00EA0160">
              <w:rPr>
                <w:rFonts w:ascii="Arial" w:hAnsi="Arial" w:cs="Arial"/>
                <w:b/>
              </w:rPr>
              <w:t>Versions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8D1651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  <w:b/>
              </w:rPr>
            </w:pPr>
            <w:r w:rsidRPr="00EA016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9E017B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  <w:b/>
              </w:rPr>
            </w:pPr>
            <w:r w:rsidRPr="00EA0160">
              <w:rPr>
                <w:rFonts w:ascii="Arial" w:hAnsi="Arial" w:cs="Arial"/>
                <w:b/>
              </w:rPr>
              <w:t>Auteurs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ABC6CA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  <w:b/>
              </w:rPr>
            </w:pPr>
            <w:r w:rsidRPr="00EA0160">
              <w:rPr>
                <w:rFonts w:ascii="Arial" w:hAnsi="Arial" w:cs="Arial"/>
                <w:b/>
              </w:rPr>
              <w:t xml:space="preserve">Modifications </w:t>
            </w:r>
          </w:p>
        </w:tc>
      </w:tr>
      <w:tr w:rsidR="00E81708" w:rsidRPr="00EA0160" w14:paraId="331AECE9" w14:textId="77777777" w:rsidTr="00E8170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F87C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  <w:r w:rsidRPr="00EA0160">
              <w:rPr>
                <w:rFonts w:ascii="Arial" w:hAnsi="Arial" w:cs="Arial"/>
              </w:rPr>
              <w:t xml:space="preserve">1.0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B02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2019-01-24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9D06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  <w:r w:rsidRPr="00EA0160">
              <w:rPr>
                <w:rFonts w:ascii="Arial" w:hAnsi="Arial" w:cs="Arial"/>
              </w:rPr>
              <w:t>Jeannot Dumaresq</w:t>
            </w:r>
          </w:p>
          <w:p w14:paraId="572FCC17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  <w:r w:rsidRPr="00EA0160">
              <w:rPr>
                <w:rFonts w:ascii="Arial" w:hAnsi="Arial" w:cs="Arial"/>
                <w:bCs/>
              </w:rPr>
              <w:t>Alexis Danylo</w:t>
            </w:r>
            <w:r w:rsidRPr="00EA0160">
              <w:rPr>
                <w:rFonts w:ascii="Arial" w:hAnsi="Arial" w:cs="Arial"/>
              </w:rPr>
              <w:t xml:space="preserve"> </w:t>
            </w:r>
          </w:p>
          <w:p w14:paraId="5FB5712F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851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</w:t>
            </w:r>
          </w:p>
          <w:p w14:paraId="517FE903" w14:textId="77777777" w:rsidR="00E81708" w:rsidRPr="00EA0160" w:rsidRDefault="00E81708" w:rsidP="00EB228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011687" w:rsidRPr="00EA0160" w14:paraId="30C53395" w14:textId="77777777" w:rsidTr="0001168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571" w14:textId="185895F3" w:rsidR="00011687" w:rsidRPr="00EA0160" w:rsidRDefault="00011687" w:rsidP="0001168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820" w14:textId="197D554F" w:rsidR="00011687" w:rsidRDefault="00011687" w:rsidP="0001168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2019-05-28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8EE" w14:textId="783E7CDB" w:rsidR="00011687" w:rsidRPr="00EA0160" w:rsidRDefault="00011687" w:rsidP="0001168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Jeannot Dumaresq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C1F" w14:textId="5F10C980" w:rsidR="00011687" w:rsidRDefault="00CE31A4" w:rsidP="00CE31A4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Ajout d’une section précautions/mesures de sécurité (section 3.1)</w:t>
            </w:r>
          </w:p>
        </w:tc>
      </w:tr>
    </w:tbl>
    <w:p w14:paraId="792AF696" w14:textId="77777777" w:rsidR="00364034" w:rsidRPr="00364034" w:rsidRDefault="00364034" w:rsidP="00CB1321">
      <w:pPr>
        <w:rPr>
          <w:lang w:eastAsia="fr-CA"/>
        </w:rPr>
      </w:pPr>
    </w:p>
    <w:p w14:paraId="0BC1CFBD" w14:textId="77777777" w:rsidR="00E81708" w:rsidRPr="00E81708" w:rsidRDefault="00364034" w:rsidP="00E81708">
      <w:pPr>
        <w:ind w:left="-567"/>
        <w:jc w:val="center"/>
        <w:rPr>
          <w:rFonts w:ascii="Arial" w:eastAsia="Calibri" w:hAnsi="Arial" w:cs="Arial"/>
          <w:sz w:val="22"/>
          <w:lang w:eastAsia="fr-CA"/>
        </w:rPr>
      </w:pPr>
      <w:r w:rsidRPr="00364034">
        <w:rPr>
          <w:lang w:eastAsia="fr-CA"/>
        </w:rPr>
        <w:br w:type="page"/>
      </w:r>
    </w:p>
    <w:p w14:paraId="254B4C52" w14:textId="77777777" w:rsidR="00E81708" w:rsidRPr="00E81708" w:rsidRDefault="00E81708" w:rsidP="00E81708">
      <w:pPr>
        <w:ind w:left="-567" w:firstLine="142"/>
        <w:jc w:val="center"/>
        <w:rPr>
          <w:rFonts w:ascii="Arial" w:eastAsia="Calibri" w:hAnsi="Arial" w:cs="Arial"/>
          <w:sz w:val="22"/>
          <w:lang w:eastAsia="fr-CA"/>
        </w:rPr>
      </w:pPr>
      <w:r w:rsidRPr="00E81708">
        <w:rPr>
          <w:rFonts w:ascii="Arial" w:eastAsia="Calibri" w:hAnsi="Arial" w:cs="Arial"/>
          <w:sz w:val="36"/>
          <w:lang w:eastAsia="fr-CA"/>
        </w:rPr>
        <w:lastRenderedPageBreak/>
        <w:t>Algor</w:t>
      </w:r>
      <w:r w:rsidRPr="00E81708">
        <w:rPr>
          <w:rFonts w:ascii="Calibri" w:eastAsia="Calibri" w:hAnsi="Calibri" w:cs="Times New Roman"/>
          <w:noProof/>
          <w:sz w:val="36"/>
          <w:lang w:eastAsia="fr-CA"/>
        </w:rPr>
        <w:drawing>
          <wp:anchor distT="0" distB="0" distL="114300" distR="114300" simplePos="0" relativeHeight="251661312" behindDoc="1" locked="0" layoutInCell="1" allowOverlap="1" wp14:anchorId="54BBA447" wp14:editId="3D9A245D">
            <wp:simplePos x="0" y="0"/>
            <wp:positionH relativeFrom="margin">
              <wp:posOffset>-161925</wp:posOffset>
            </wp:positionH>
            <wp:positionV relativeFrom="paragraph">
              <wp:posOffset>587375</wp:posOffset>
            </wp:positionV>
            <wp:extent cx="6924040" cy="7583805"/>
            <wp:effectExtent l="0" t="0" r="0" b="0"/>
            <wp:wrapTight wrapText="bothSides">
              <wp:wrapPolygon edited="0">
                <wp:start x="0" y="0"/>
                <wp:lineTo x="0" y="21540"/>
                <wp:lineTo x="21513" y="21540"/>
                <wp:lineTo x="2151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0"/>
                    <a:stretch/>
                  </pic:blipFill>
                  <pic:spPr bwMode="auto">
                    <a:xfrm>
                      <a:off x="0" y="0"/>
                      <a:ext cx="6924040" cy="758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708">
        <w:rPr>
          <w:rFonts w:ascii="Arial" w:eastAsia="Calibri" w:hAnsi="Arial" w:cs="Arial"/>
          <w:sz w:val="36"/>
          <w:lang w:eastAsia="fr-CA"/>
        </w:rPr>
        <w:t>ithme</w:t>
      </w:r>
    </w:p>
    <w:p w14:paraId="0042C9CA" w14:textId="77777777" w:rsidR="00364034" w:rsidRPr="00364034" w:rsidRDefault="00364034" w:rsidP="00CB1321">
      <w:pPr>
        <w:rPr>
          <w:lang w:eastAsia="fr-CA"/>
        </w:rPr>
      </w:pPr>
    </w:p>
    <w:sectPr w:rsidR="00364034" w:rsidRPr="00364034" w:rsidSect="00C01DD7">
      <w:headerReference w:type="default" r:id="rId14"/>
      <w:type w:val="continuous"/>
      <w:pgSz w:w="12240" w:h="15840"/>
      <w:pgMar w:top="1171" w:right="1440" w:bottom="1135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AC26" w14:textId="77777777" w:rsidR="00523E04" w:rsidRDefault="00523E04" w:rsidP="002A1FBC">
      <w:r>
        <w:separator/>
      </w:r>
    </w:p>
    <w:p w14:paraId="7E53E6E6" w14:textId="77777777" w:rsidR="00523E04" w:rsidRDefault="00523E04"/>
  </w:endnote>
  <w:endnote w:type="continuationSeparator" w:id="0">
    <w:p w14:paraId="3E5BB335" w14:textId="77777777" w:rsidR="00523E04" w:rsidRDefault="00523E04" w:rsidP="002A1FBC">
      <w:r>
        <w:continuationSeparator/>
      </w:r>
    </w:p>
    <w:p w14:paraId="5EF6D996" w14:textId="77777777" w:rsidR="00523E04" w:rsidRDefault="00523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altName w:val="Arial Bold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altName w:val="Arial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89BA" w14:textId="77777777" w:rsidR="000F7EE1" w:rsidRDefault="000F7EE1"/>
  <w:p w14:paraId="42A649E3" w14:textId="77777777" w:rsidR="00A30253" w:rsidRDefault="00A302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964"/>
      <w:gridCol w:w="1276"/>
      <w:gridCol w:w="2835"/>
      <w:gridCol w:w="1275"/>
    </w:tblGrid>
    <w:tr w:rsidR="00A314C3" w14:paraId="0A27A148" w14:textId="77777777" w:rsidTr="00F066A5">
      <w:tc>
        <w:tcPr>
          <w:tcW w:w="3964" w:type="dxa"/>
        </w:tcPr>
        <w:p w14:paraId="7C685CF5" w14:textId="030FAFB9" w:rsidR="00A314C3" w:rsidRPr="0018702C" w:rsidRDefault="00011687" w:rsidP="00011687">
          <w:pPr>
            <w:rPr>
              <w:sz w:val="16"/>
              <w:szCs w:val="18"/>
            </w:rPr>
          </w:pPr>
          <w:r>
            <w:rPr>
              <w:b/>
              <w:sz w:val="16"/>
              <w:szCs w:val="18"/>
            </w:rPr>
            <w:t>Rédigé par : Jeannot Dumaresq et Alexis Danylo</w:t>
          </w:r>
        </w:p>
      </w:tc>
      <w:tc>
        <w:tcPr>
          <w:tcW w:w="1276" w:type="dxa"/>
          <w:tcBorders>
            <w:right w:val="nil"/>
          </w:tcBorders>
        </w:tcPr>
        <w:p w14:paraId="4AC31D83" w14:textId="77777777" w:rsidR="00A314C3" w:rsidRPr="0018702C" w:rsidRDefault="00A27E74" w:rsidP="00F066A5">
          <w:pPr>
            <w:rPr>
              <w:b/>
              <w:sz w:val="16"/>
              <w:szCs w:val="18"/>
            </w:rPr>
          </w:pPr>
          <w:r>
            <w:rPr>
              <w:b/>
              <w:sz w:val="16"/>
              <w:szCs w:val="18"/>
            </w:rPr>
            <w:t>Révisé</w:t>
          </w:r>
          <w:r w:rsidR="00A314C3" w:rsidRPr="0018702C">
            <w:rPr>
              <w:b/>
              <w:sz w:val="16"/>
              <w:szCs w:val="18"/>
            </w:rPr>
            <w:t xml:space="preserve"> par :</w:t>
          </w:r>
        </w:p>
      </w:tc>
      <w:tc>
        <w:tcPr>
          <w:tcW w:w="2835" w:type="dxa"/>
          <w:tcBorders>
            <w:left w:val="nil"/>
          </w:tcBorders>
        </w:tcPr>
        <w:p w14:paraId="3A500F5E" w14:textId="48A54A28" w:rsidR="00A314C3" w:rsidRPr="0018702C" w:rsidRDefault="00850CF1" w:rsidP="00247777">
          <w:pPr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Voir section </w:t>
          </w:r>
          <w:r w:rsidR="00247777">
            <w:rPr>
              <w:sz w:val="16"/>
              <w:szCs w:val="18"/>
            </w:rPr>
            <w:t>5</w:t>
          </w:r>
        </w:p>
      </w:tc>
      <w:tc>
        <w:tcPr>
          <w:tcW w:w="1275" w:type="dxa"/>
        </w:tcPr>
        <w:p w14:paraId="2C6A6EC1" w14:textId="77777777" w:rsidR="00A314C3" w:rsidRPr="0018702C" w:rsidRDefault="00A314C3">
          <w:pPr>
            <w:rPr>
              <w:sz w:val="16"/>
              <w:szCs w:val="18"/>
            </w:rPr>
          </w:pPr>
          <w:r w:rsidRPr="0018702C">
            <w:rPr>
              <w:sz w:val="16"/>
              <w:szCs w:val="18"/>
            </w:rPr>
            <w:t xml:space="preserve">Page </w:t>
          </w:r>
          <w:r w:rsidRPr="0018702C">
            <w:rPr>
              <w:b/>
              <w:sz w:val="16"/>
              <w:szCs w:val="18"/>
            </w:rPr>
            <w:fldChar w:fldCharType="begin"/>
          </w:r>
          <w:r w:rsidRPr="0018702C">
            <w:rPr>
              <w:b/>
              <w:sz w:val="16"/>
              <w:szCs w:val="18"/>
            </w:rPr>
            <w:instrText>PAGE   \* MERGEFORMAT</w:instrText>
          </w:r>
          <w:r w:rsidRPr="0018702C">
            <w:rPr>
              <w:b/>
              <w:sz w:val="16"/>
              <w:szCs w:val="18"/>
            </w:rPr>
            <w:fldChar w:fldCharType="separate"/>
          </w:r>
          <w:r w:rsidR="003A7BAE" w:rsidRPr="003A7BAE">
            <w:rPr>
              <w:b/>
              <w:noProof/>
              <w:sz w:val="16"/>
              <w:szCs w:val="18"/>
              <w:lang w:val="fr-FR"/>
            </w:rPr>
            <w:t>1</w:t>
          </w:r>
          <w:r w:rsidRPr="0018702C">
            <w:rPr>
              <w:b/>
              <w:sz w:val="16"/>
              <w:szCs w:val="18"/>
            </w:rPr>
            <w:fldChar w:fldCharType="end"/>
          </w:r>
          <w:r w:rsidRPr="0018702C">
            <w:rPr>
              <w:sz w:val="16"/>
              <w:szCs w:val="18"/>
            </w:rPr>
            <w:t xml:space="preserve"> de </w:t>
          </w:r>
          <w:r w:rsidRPr="0018702C">
            <w:rPr>
              <w:b/>
              <w:sz w:val="16"/>
              <w:szCs w:val="18"/>
            </w:rPr>
            <w:fldChar w:fldCharType="begin"/>
          </w:r>
          <w:r w:rsidRPr="0018702C">
            <w:rPr>
              <w:b/>
              <w:sz w:val="16"/>
              <w:szCs w:val="18"/>
            </w:rPr>
            <w:instrText xml:space="preserve"> NUMPAGES  \* Arabic  \* MERGEFORMAT </w:instrText>
          </w:r>
          <w:r w:rsidRPr="0018702C">
            <w:rPr>
              <w:b/>
              <w:sz w:val="16"/>
              <w:szCs w:val="18"/>
            </w:rPr>
            <w:fldChar w:fldCharType="separate"/>
          </w:r>
          <w:r w:rsidR="003A7BAE">
            <w:rPr>
              <w:b/>
              <w:noProof/>
              <w:sz w:val="16"/>
              <w:szCs w:val="18"/>
            </w:rPr>
            <w:t>4</w:t>
          </w:r>
          <w:r w:rsidRPr="0018702C">
            <w:rPr>
              <w:b/>
              <w:sz w:val="16"/>
              <w:szCs w:val="18"/>
            </w:rPr>
            <w:fldChar w:fldCharType="end"/>
          </w:r>
        </w:p>
      </w:tc>
    </w:tr>
  </w:tbl>
  <w:p w14:paraId="2D62FF5B" w14:textId="77777777" w:rsidR="00A30253" w:rsidRDefault="00A30253" w:rsidP="00C01D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B3CD" w14:textId="77777777" w:rsidR="00523E04" w:rsidRDefault="00523E04" w:rsidP="002A1FBC">
      <w:r>
        <w:separator/>
      </w:r>
    </w:p>
    <w:p w14:paraId="52BDABAB" w14:textId="77777777" w:rsidR="00523E04" w:rsidRDefault="00523E04"/>
  </w:footnote>
  <w:footnote w:type="continuationSeparator" w:id="0">
    <w:p w14:paraId="42F553E6" w14:textId="77777777" w:rsidR="00523E04" w:rsidRDefault="00523E04" w:rsidP="002A1FBC">
      <w:r>
        <w:continuationSeparator/>
      </w:r>
    </w:p>
    <w:p w14:paraId="58A07BD7" w14:textId="77777777" w:rsidR="00523E04" w:rsidRDefault="00523E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F227C" w14:textId="77777777" w:rsidR="000F7EE1" w:rsidRDefault="000F7EE1"/>
  <w:p w14:paraId="0D3AEA28" w14:textId="77777777" w:rsidR="00A30253" w:rsidRDefault="00A30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  <w:tblLook w:val="04A0" w:firstRow="1" w:lastRow="0" w:firstColumn="1" w:lastColumn="0" w:noHBand="0" w:noVBand="1"/>
    </w:tblPr>
    <w:tblGrid>
      <w:gridCol w:w="3539"/>
      <w:gridCol w:w="992"/>
      <w:gridCol w:w="3189"/>
      <w:gridCol w:w="1630"/>
    </w:tblGrid>
    <w:tr w:rsidR="00C01DD7" w14:paraId="6C477D0E" w14:textId="77777777" w:rsidTr="007277CF">
      <w:trPr>
        <w:trHeight w:val="737"/>
      </w:trPr>
      <w:tc>
        <w:tcPr>
          <w:tcW w:w="3539" w:type="dxa"/>
          <w:vMerge w:val="restart"/>
        </w:tcPr>
        <w:p w14:paraId="31CB656E" w14:textId="77777777" w:rsidR="00C01DD7" w:rsidRDefault="00C01DD7" w:rsidP="00C01DD7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2A380B76" wp14:editId="431C87EE">
                <wp:simplePos x="0" y="0"/>
                <wp:positionH relativeFrom="column">
                  <wp:posOffset>-9194</wp:posOffset>
                </wp:positionH>
                <wp:positionV relativeFrom="paragraph">
                  <wp:posOffset>67945</wp:posOffset>
                </wp:positionV>
                <wp:extent cx="2154803" cy="823704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pq_couleur_gran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803" cy="823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gridSpan w:val="3"/>
          <w:vAlign w:val="center"/>
        </w:tcPr>
        <w:p w14:paraId="62FF03F3" w14:textId="77777777" w:rsidR="00C01DD7" w:rsidRPr="004A4589" w:rsidRDefault="00C01DD7" w:rsidP="00C01DD7">
          <w:pPr>
            <w:rPr>
              <w:b/>
            </w:rPr>
          </w:pPr>
          <w:r w:rsidRPr="004A4589">
            <w:rPr>
              <w:rFonts w:cs="Arial"/>
              <w:b/>
            </w:rPr>
            <w:t>PROCÉDURE OPÉRATIONNELLE NORMALISÉE</w:t>
          </w:r>
          <w:r>
            <w:rPr>
              <w:rFonts w:cs="Arial"/>
              <w:b/>
            </w:rPr>
            <w:t xml:space="preserve"> (PON)</w:t>
          </w:r>
        </w:p>
      </w:tc>
    </w:tr>
    <w:tr w:rsidR="00C01DD7" w14:paraId="27E2483D" w14:textId="77777777" w:rsidTr="007277CF">
      <w:trPr>
        <w:trHeight w:val="737"/>
      </w:trPr>
      <w:tc>
        <w:tcPr>
          <w:tcW w:w="3539" w:type="dxa"/>
          <w:vMerge/>
        </w:tcPr>
        <w:p w14:paraId="0D9584FD" w14:textId="77777777" w:rsidR="00C01DD7" w:rsidRDefault="00C01DD7" w:rsidP="00C01DD7">
          <w:pPr>
            <w:rPr>
              <w:noProof/>
              <w:lang w:eastAsia="fr-CA"/>
            </w:rPr>
          </w:pPr>
        </w:p>
      </w:tc>
      <w:tc>
        <w:tcPr>
          <w:tcW w:w="992" w:type="dxa"/>
          <w:vAlign w:val="center"/>
        </w:tcPr>
        <w:p w14:paraId="3C1B9DF9" w14:textId="2FCE8B1F" w:rsidR="00C01DD7" w:rsidRPr="001558A3" w:rsidRDefault="00C01DD7" w:rsidP="00C01DD7">
          <w:pPr>
            <w:rPr>
              <w:rFonts w:cs="Arial"/>
            </w:rPr>
          </w:pPr>
        </w:p>
      </w:tc>
      <w:tc>
        <w:tcPr>
          <w:tcW w:w="4819" w:type="dxa"/>
          <w:gridSpan w:val="2"/>
          <w:vAlign w:val="center"/>
        </w:tcPr>
        <w:p w14:paraId="0A883EEA" w14:textId="15A2A8F3" w:rsidR="00C01DD7" w:rsidRPr="001558A3" w:rsidRDefault="00C01DD7" w:rsidP="00C73518">
          <w:pPr>
            <w:rPr>
              <w:rFonts w:cs="Arial"/>
            </w:rPr>
          </w:pPr>
          <w:r>
            <w:rPr>
              <w:rFonts w:cs="Arial"/>
            </w:rPr>
            <w:t>M</w:t>
          </w:r>
          <w:r w:rsidR="00C73518">
            <w:rPr>
              <w:rFonts w:cs="Arial"/>
            </w:rPr>
            <w:t>ALDI-TOF</w:t>
          </w:r>
        </w:p>
      </w:tc>
    </w:tr>
    <w:tr w:rsidR="00C01DD7" w14:paraId="390C29F1" w14:textId="77777777" w:rsidTr="007277CF">
      <w:trPr>
        <w:trHeight w:val="794"/>
      </w:trPr>
      <w:tc>
        <w:tcPr>
          <w:tcW w:w="7720" w:type="dxa"/>
          <w:gridSpan w:val="3"/>
          <w:vAlign w:val="center"/>
        </w:tcPr>
        <w:p w14:paraId="2EFA0C9A" w14:textId="2891E37B" w:rsidR="00C01DD7" w:rsidRDefault="00C73518" w:rsidP="00C01DD7">
          <w:pPr>
            <w:ind w:left="720"/>
          </w:pPr>
          <w:r w:rsidRPr="00C73518">
            <w:rPr>
              <w:rFonts w:cs="Arial"/>
              <w:b/>
              <w:color w:val="002060"/>
              <w:sz w:val="24"/>
            </w:rPr>
            <w:t>Procédure pour l’identification de bactéries isolées d’hémocultures et de liquides articulaires par MALDI-TOF après incubation courte sur gélose chocolat</w:t>
          </w:r>
        </w:p>
      </w:tc>
      <w:tc>
        <w:tcPr>
          <w:tcW w:w="1630" w:type="dxa"/>
          <w:vAlign w:val="center"/>
        </w:tcPr>
        <w:p w14:paraId="49C22B83" w14:textId="5F21D3FD" w:rsidR="00C01DD7" w:rsidRDefault="00C01DD7" w:rsidP="00C73518">
          <w:pPr>
            <w:jc w:val="center"/>
          </w:pPr>
          <w:r w:rsidRPr="002A1FBC">
            <w:rPr>
              <w:rFonts w:cs="Arial"/>
            </w:rPr>
            <w:t xml:space="preserve">VERSION </w:t>
          </w:r>
          <w:r w:rsidR="00C73518">
            <w:rPr>
              <w:rFonts w:cs="Arial"/>
            </w:rPr>
            <w:t>1</w:t>
          </w:r>
          <w:r w:rsidRPr="002A1FBC">
            <w:rPr>
              <w:rFonts w:cs="Arial"/>
            </w:rPr>
            <w:t>.</w:t>
          </w:r>
          <w:r w:rsidR="00C73518">
            <w:rPr>
              <w:rFonts w:cs="Arial"/>
            </w:rPr>
            <w:t>1</w:t>
          </w:r>
          <w:r w:rsidRPr="002A1FBC">
            <w:rPr>
              <w:rFonts w:cs="Arial"/>
            </w:rPr>
            <w:t xml:space="preserve"> </w:t>
          </w:r>
          <w:r w:rsidRPr="002A1FBC">
            <w:rPr>
              <w:rFonts w:cs="Arial"/>
            </w:rPr>
            <w:br/>
          </w:r>
          <w:r w:rsidR="00C73518">
            <w:rPr>
              <w:rFonts w:cs="Arial"/>
              <w:color w:val="FF0000"/>
              <w:szCs w:val="18"/>
            </w:rPr>
            <w:t>2019-05-28</w:t>
          </w:r>
        </w:p>
      </w:tc>
    </w:tr>
  </w:tbl>
  <w:p w14:paraId="22B1C4DD" w14:textId="77777777" w:rsidR="00C01DD7" w:rsidRDefault="00C01D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FF2E" w14:textId="39B00080" w:rsidR="009F3B88" w:rsidRPr="009F3B88" w:rsidRDefault="009F3B88" w:rsidP="009F3B88">
    <w:pPr>
      <w:jc w:val="right"/>
      <w:rPr>
        <w:b/>
        <w:noProof/>
        <w:lang w:eastAsia="fr-CA"/>
      </w:rPr>
    </w:pPr>
    <w:r w:rsidRPr="00467787">
      <w:rPr>
        <w:b/>
        <w:noProof/>
        <w:sz w:val="16"/>
        <w:lang w:eastAsia="fr-CA"/>
      </w:rPr>
      <w:drawing>
        <wp:anchor distT="0" distB="0" distL="114300" distR="114300" simplePos="0" relativeHeight="251661312" behindDoc="1" locked="0" layoutInCell="1" allowOverlap="1" wp14:anchorId="38979C0A" wp14:editId="2B49F8A9">
          <wp:simplePos x="0" y="0"/>
          <wp:positionH relativeFrom="margin">
            <wp:align>left</wp:align>
          </wp:positionH>
          <wp:positionV relativeFrom="paragraph">
            <wp:posOffset>-149363</wp:posOffset>
          </wp:positionV>
          <wp:extent cx="1860605" cy="711242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pq_couleur_g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605" cy="711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787">
      <w:rPr>
        <w:b/>
        <w:noProof/>
        <w:sz w:val="16"/>
        <w:lang w:eastAsia="fr-CA"/>
      </w:rPr>
      <w:t xml:space="preserve">PON - </w:t>
    </w:r>
    <w:r w:rsidR="00BB1E43" w:rsidRPr="00BB1E43">
      <w:rPr>
        <w:b/>
        <w:noProof/>
        <w:sz w:val="16"/>
        <w:lang w:eastAsia="fr-CA"/>
      </w:rPr>
      <w:t>Procédure pour l’identification de bactéries isolées d’hémocultures et de</w:t>
    </w:r>
    <w:r w:rsidR="00BB1E43">
      <w:rPr>
        <w:b/>
        <w:noProof/>
        <w:sz w:val="16"/>
        <w:lang w:eastAsia="fr-CA"/>
      </w:rPr>
      <w:br/>
    </w:r>
    <w:r w:rsidR="00BB1E43" w:rsidRPr="00BB1E43">
      <w:rPr>
        <w:b/>
        <w:noProof/>
        <w:sz w:val="16"/>
        <w:lang w:eastAsia="fr-CA"/>
      </w:rPr>
      <w:t>liquides articulaires par MALDI-TOF après incubation courte sur gélose chocolat</w:t>
    </w:r>
  </w:p>
  <w:p w14:paraId="08386D8B" w14:textId="77777777" w:rsidR="009F3B88" w:rsidRDefault="009F3B88">
    <w:pPr>
      <w:rPr>
        <w:noProof/>
        <w:lang w:eastAsia="fr-CA"/>
      </w:rPr>
    </w:pPr>
  </w:p>
  <w:p w14:paraId="77CF1B33" w14:textId="77777777" w:rsidR="009F3B88" w:rsidRDefault="009F3B88"/>
  <w:p w14:paraId="5F536C16" w14:textId="77777777" w:rsidR="00467787" w:rsidRDefault="004677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D9D"/>
    <w:multiLevelType w:val="hybridMultilevel"/>
    <w:tmpl w:val="10AE4710"/>
    <w:lvl w:ilvl="0" w:tplc="964A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F77"/>
    <w:multiLevelType w:val="hybridMultilevel"/>
    <w:tmpl w:val="13C8535A"/>
    <w:lvl w:ilvl="0" w:tplc="1032ABEC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42A8"/>
    <w:multiLevelType w:val="multilevel"/>
    <w:tmpl w:val="2DF8063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477C0"/>
    <w:multiLevelType w:val="hybridMultilevel"/>
    <w:tmpl w:val="8844354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891"/>
    <w:multiLevelType w:val="hybridMultilevel"/>
    <w:tmpl w:val="A570610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59FC"/>
    <w:multiLevelType w:val="hybridMultilevel"/>
    <w:tmpl w:val="0276E202"/>
    <w:lvl w:ilvl="0" w:tplc="CE4256F8">
      <w:numFmt w:val="bullet"/>
      <w:lvlText w:val=""/>
      <w:lvlJc w:val="left"/>
      <w:pPr>
        <w:ind w:left="2831" w:hanging="54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6" w15:restartNumberingAfterBreak="0">
    <w:nsid w:val="10874D0A"/>
    <w:multiLevelType w:val="hybridMultilevel"/>
    <w:tmpl w:val="64A2FDE6"/>
    <w:lvl w:ilvl="0" w:tplc="199CC8AE">
      <w:start w:val="1"/>
      <w:numFmt w:val="decimal"/>
      <w:lvlText w:val="%1."/>
      <w:lvlJc w:val="left"/>
      <w:pPr>
        <w:ind w:left="1422" w:hanging="855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5F2EE9"/>
    <w:multiLevelType w:val="hybridMultilevel"/>
    <w:tmpl w:val="AAA866B4"/>
    <w:lvl w:ilvl="0" w:tplc="3CC82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1624"/>
    <w:multiLevelType w:val="hybridMultilevel"/>
    <w:tmpl w:val="063A47D6"/>
    <w:lvl w:ilvl="0" w:tplc="2E62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7E97"/>
    <w:multiLevelType w:val="hybridMultilevel"/>
    <w:tmpl w:val="8CA036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C0CC0"/>
    <w:multiLevelType w:val="multilevel"/>
    <w:tmpl w:val="7A80F572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Arial Gras" w:hAnsi="Arial Gra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1A0927"/>
    <w:multiLevelType w:val="hybridMultilevel"/>
    <w:tmpl w:val="B59245D8"/>
    <w:lvl w:ilvl="0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741A9"/>
    <w:multiLevelType w:val="hybridMultilevel"/>
    <w:tmpl w:val="A5E4C604"/>
    <w:lvl w:ilvl="0" w:tplc="1CBA60EE">
      <w:start w:val="1"/>
      <w:numFmt w:val="decimal"/>
      <w:pStyle w:val="Annexes"/>
      <w:lvlText w:val="Annexe %1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3C3B"/>
    <w:multiLevelType w:val="hybridMultilevel"/>
    <w:tmpl w:val="26748032"/>
    <w:lvl w:ilvl="0" w:tplc="A39042D4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u w:color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1EED"/>
    <w:multiLevelType w:val="hybridMultilevel"/>
    <w:tmpl w:val="603EADC8"/>
    <w:lvl w:ilvl="0" w:tplc="FC7E0A3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E884D2A"/>
    <w:multiLevelType w:val="hybridMultilevel"/>
    <w:tmpl w:val="058C2B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313"/>
    <w:multiLevelType w:val="hybridMultilevel"/>
    <w:tmpl w:val="FDB0DD7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5266"/>
    <w:multiLevelType w:val="hybridMultilevel"/>
    <w:tmpl w:val="9A4E0BF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0B29"/>
    <w:multiLevelType w:val="hybridMultilevel"/>
    <w:tmpl w:val="A10A720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u w:color="70AD47" w:themeColor="accent6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950F7"/>
    <w:multiLevelType w:val="hybridMultilevel"/>
    <w:tmpl w:val="A62A49C2"/>
    <w:lvl w:ilvl="0" w:tplc="0C0C0019">
      <w:start w:val="1"/>
      <w:numFmt w:val="lowerLetter"/>
      <w:lvlText w:val="%1."/>
      <w:lvlJc w:val="left"/>
      <w:pPr>
        <w:ind w:left="1070" w:hanging="360"/>
      </w:p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D785B64"/>
    <w:multiLevelType w:val="hybridMultilevel"/>
    <w:tmpl w:val="A9E8D43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6F3E"/>
    <w:multiLevelType w:val="multilevel"/>
    <w:tmpl w:val="61E4E71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decimal"/>
      <w:pStyle w:val="Annexetitre1"/>
      <w:lvlText w:val="%2."/>
      <w:lvlJc w:val="left"/>
      <w:pPr>
        <w:tabs>
          <w:tab w:val="num" w:pos="792"/>
        </w:tabs>
        <w:ind w:left="792" w:hanging="432"/>
      </w:pPr>
      <w:rPr>
        <w:rFonts w:ascii="Arial" w:eastAsia="Calibri" w:hAnsi="Arial" w:cs="Aria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1A73EC"/>
    <w:multiLevelType w:val="multilevel"/>
    <w:tmpl w:val="12DA7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  <w:b w:val="0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1117" w:hanging="266"/>
      </w:pPr>
      <w:rPr>
        <w:rFonts w:ascii="Wingdings" w:hAnsi="Wingdings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CA352AC"/>
    <w:multiLevelType w:val="hybridMultilevel"/>
    <w:tmpl w:val="A98E5A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2C4D"/>
    <w:multiLevelType w:val="hybridMultilevel"/>
    <w:tmpl w:val="F596FF58"/>
    <w:lvl w:ilvl="0" w:tplc="5DE8048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514E4C"/>
    <w:multiLevelType w:val="multilevel"/>
    <w:tmpl w:val="7A80F572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Arial Gras" w:hAnsi="Arial Gra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DE1174"/>
    <w:multiLevelType w:val="hybridMultilevel"/>
    <w:tmpl w:val="67EAFCBE"/>
    <w:lvl w:ilvl="0" w:tplc="0C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1EC0852"/>
    <w:multiLevelType w:val="hybridMultilevel"/>
    <w:tmpl w:val="BF6057CE"/>
    <w:lvl w:ilvl="0" w:tplc="D592D1B0">
      <w:start w:val="1"/>
      <w:numFmt w:val="bullet"/>
      <w:lvlText w:val=""/>
      <w:lvlJc w:val="left"/>
      <w:pPr>
        <w:ind w:left="1118" w:hanging="2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03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8" w15:restartNumberingAfterBreak="0">
    <w:nsid w:val="53104E90"/>
    <w:multiLevelType w:val="hybridMultilevel"/>
    <w:tmpl w:val="9580FAEC"/>
    <w:lvl w:ilvl="0" w:tplc="C6F646F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E71B92"/>
    <w:multiLevelType w:val="multilevel"/>
    <w:tmpl w:val="1D64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1728" w:hanging="648"/>
      </w:pPr>
      <w:rPr>
        <w:rFonts w:ascii="Wingdings" w:hAnsi="Wingdings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1997871"/>
    <w:multiLevelType w:val="hybridMultilevel"/>
    <w:tmpl w:val="A6DE3206"/>
    <w:lvl w:ilvl="0" w:tplc="C3E24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53B1"/>
    <w:multiLevelType w:val="hybridMultilevel"/>
    <w:tmpl w:val="CDF6EF0E"/>
    <w:lvl w:ilvl="0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12D1B"/>
    <w:multiLevelType w:val="hybridMultilevel"/>
    <w:tmpl w:val="311A095A"/>
    <w:lvl w:ilvl="0" w:tplc="14A6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3E4E"/>
    <w:multiLevelType w:val="hybridMultilevel"/>
    <w:tmpl w:val="D0A6182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C04ED"/>
    <w:multiLevelType w:val="hybridMultilevel"/>
    <w:tmpl w:val="6AB87FFC"/>
    <w:lvl w:ilvl="0" w:tplc="8E7E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43E99"/>
    <w:multiLevelType w:val="hybridMultilevel"/>
    <w:tmpl w:val="4D369950"/>
    <w:lvl w:ilvl="0" w:tplc="0748B8F0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u w:color="70AD47" w:themeColor="accent6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144B6"/>
    <w:multiLevelType w:val="hybridMultilevel"/>
    <w:tmpl w:val="9FFC1E3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27"/>
  </w:num>
  <w:num w:numId="5">
    <w:abstractNumId w:val="29"/>
  </w:num>
  <w:num w:numId="6">
    <w:abstractNumId w:val="25"/>
  </w:num>
  <w:num w:numId="7">
    <w:abstractNumId w:val="22"/>
  </w:num>
  <w:num w:numId="8">
    <w:abstractNumId w:val="12"/>
  </w:num>
  <w:num w:numId="9">
    <w:abstractNumId w:val="30"/>
  </w:num>
  <w:num w:numId="10">
    <w:abstractNumId w:val="15"/>
  </w:num>
  <w:num w:numId="11">
    <w:abstractNumId w:val="21"/>
  </w:num>
  <w:num w:numId="12">
    <w:abstractNumId w:val="14"/>
  </w:num>
  <w:num w:numId="13">
    <w:abstractNumId w:val="19"/>
  </w:num>
  <w:num w:numId="14">
    <w:abstractNumId w:val="26"/>
  </w:num>
  <w:num w:numId="15">
    <w:abstractNumId w:val="11"/>
  </w:num>
  <w:num w:numId="16">
    <w:abstractNumId w:val="31"/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20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ascii="Arial" w:hAnsi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szCs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6"/>
  </w:num>
  <w:num w:numId="19">
    <w:abstractNumId w:val="6"/>
  </w:num>
  <w:num w:numId="20">
    <w:abstractNumId w:val="7"/>
  </w:num>
  <w:num w:numId="21">
    <w:abstractNumId w:val="2"/>
  </w:num>
  <w:num w:numId="22">
    <w:abstractNumId w:val="12"/>
  </w:num>
  <w:num w:numId="23">
    <w:abstractNumId w:val="35"/>
  </w:num>
  <w:num w:numId="24">
    <w:abstractNumId w:val="13"/>
  </w:num>
  <w:num w:numId="25">
    <w:abstractNumId w:val="2"/>
  </w:num>
  <w:num w:numId="26">
    <w:abstractNumId w:val="2"/>
  </w:num>
  <w:num w:numId="27">
    <w:abstractNumId w:val="3"/>
  </w:num>
  <w:num w:numId="28">
    <w:abstractNumId w:val="33"/>
  </w:num>
  <w:num w:numId="29">
    <w:abstractNumId w:val="17"/>
  </w:num>
  <w:num w:numId="30">
    <w:abstractNumId w:val="20"/>
  </w:num>
  <w:num w:numId="31">
    <w:abstractNumId w:val="1"/>
  </w:num>
  <w:num w:numId="32">
    <w:abstractNumId w:val="36"/>
  </w:num>
  <w:num w:numId="33">
    <w:abstractNumId w:val="4"/>
  </w:num>
  <w:num w:numId="34">
    <w:abstractNumId w:val="18"/>
  </w:num>
  <w:num w:numId="35">
    <w:abstractNumId w:val="23"/>
  </w:num>
  <w:num w:numId="36">
    <w:abstractNumId w:val="8"/>
  </w:num>
  <w:num w:numId="37">
    <w:abstractNumId w:val="34"/>
  </w:num>
  <w:num w:numId="38">
    <w:abstractNumId w:val="0"/>
  </w:num>
  <w:num w:numId="39">
    <w:abstractNumId w:val="2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BC"/>
    <w:rsid w:val="00011687"/>
    <w:rsid w:val="00041353"/>
    <w:rsid w:val="00060EBD"/>
    <w:rsid w:val="000647AE"/>
    <w:rsid w:val="000A4BE9"/>
    <w:rsid w:val="000D6EC9"/>
    <w:rsid w:val="000F7EE1"/>
    <w:rsid w:val="00141D33"/>
    <w:rsid w:val="00157E37"/>
    <w:rsid w:val="00174F54"/>
    <w:rsid w:val="0018702C"/>
    <w:rsid w:val="001A3F5D"/>
    <w:rsid w:val="001A6F15"/>
    <w:rsid w:val="001C3931"/>
    <w:rsid w:val="00204598"/>
    <w:rsid w:val="00207500"/>
    <w:rsid w:val="00247777"/>
    <w:rsid w:val="00275646"/>
    <w:rsid w:val="00275D66"/>
    <w:rsid w:val="00285F27"/>
    <w:rsid w:val="00292170"/>
    <w:rsid w:val="002957DD"/>
    <w:rsid w:val="002A1FBC"/>
    <w:rsid w:val="002B18B1"/>
    <w:rsid w:val="002B53A1"/>
    <w:rsid w:val="002B6EDB"/>
    <w:rsid w:val="002D58A7"/>
    <w:rsid w:val="002F312A"/>
    <w:rsid w:val="002F6C9A"/>
    <w:rsid w:val="00300345"/>
    <w:rsid w:val="00314004"/>
    <w:rsid w:val="00320AE7"/>
    <w:rsid w:val="003308CB"/>
    <w:rsid w:val="0033285D"/>
    <w:rsid w:val="00356AD6"/>
    <w:rsid w:val="00364034"/>
    <w:rsid w:val="00366583"/>
    <w:rsid w:val="003733EF"/>
    <w:rsid w:val="003A4454"/>
    <w:rsid w:val="003A7BAE"/>
    <w:rsid w:val="003B250B"/>
    <w:rsid w:val="003C0224"/>
    <w:rsid w:val="003C1E63"/>
    <w:rsid w:val="003E284B"/>
    <w:rsid w:val="0042468C"/>
    <w:rsid w:val="00425686"/>
    <w:rsid w:val="00444BAF"/>
    <w:rsid w:val="00467787"/>
    <w:rsid w:val="004A4589"/>
    <w:rsid w:val="004B4365"/>
    <w:rsid w:val="004F53FC"/>
    <w:rsid w:val="005011E4"/>
    <w:rsid w:val="00523E04"/>
    <w:rsid w:val="005F289E"/>
    <w:rsid w:val="00601FF8"/>
    <w:rsid w:val="00616EC7"/>
    <w:rsid w:val="00620161"/>
    <w:rsid w:val="00627C73"/>
    <w:rsid w:val="00631EF6"/>
    <w:rsid w:val="006E7EAB"/>
    <w:rsid w:val="006F694D"/>
    <w:rsid w:val="00725A4B"/>
    <w:rsid w:val="007277CF"/>
    <w:rsid w:val="00777603"/>
    <w:rsid w:val="007E5D93"/>
    <w:rsid w:val="007F75AE"/>
    <w:rsid w:val="00810767"/>
    <w:rsid w:val="008153CB"/>
    <w:rsid w:val="0083561D"/>
    <w:rsid w:val="00850CF1"/>
    <w:rsid w:val="00863E04"/>
    <w:rsid w:val="008858D8"/>
    <w:rsid w:val="0089325B"/>
    <w:rsid w:val="008B2BE1"/>
    <w:rsid w:val="008C57B4"/>
    <w:rsid w:val="008F01EC"/>
    <w:rsid w:val="00974713"/>
    <w:rsid w:val="0097683C"/>
    <w:rsid w:val="00980A05"/>
    <w:rsid w:val="00990820"/>
    <w:rsid w:val="009A36EA"/>
    <w:rsid w:val="009A7316"/>
    <w:rsid w:val="009F3B88"/>
    <w:rsid w:val="00A032D9"/>
    <w:rsid w:val="00A27E74"/>
    <w:rsid w:val="00A30253"/>
    <w:rsid w:val="00A314C3"/>
    <w:rsid w:val="00A42A62"/>
    <w:rsid w:val="00AF5D18"/>
    <w:rsid w:val="00B118E3"/>
    <w:rsid w:val="00B309AA"/>
    <w:rsid w:val="00B512E1"/>
    <w:rsid w:val="00B57966"/>
    <w:rsid w:val="00B704FE"/>
    <w:rsid w:val="00B7214B"/>
    <w:rsid w:val="00BB1E43"/>
    <w:rsid w:val="00BC76FD"/>
    <w:rsid w:val="00C01DD7"/>
    <w:rsid w:val="00C3785D"/>
    <w:rsid w:val="00C40C92"/>
    <w:rsid w:val="00C671D8"/>
    <w:rsid w:val="00C73518"/>
    <w:rsid w:val="00C8031B"/>
    <w:rsid w:val="00C9438E"/>
    <w:rsid w:val="00CB0429"/>
    <w:rsid w:val="00CB1321"/>
    <w:rsid w:val="00CE1F7C"/>
    <w:rsid w:val="00CE31A4"/>
    <w:rsid w:val="00D1169C"/>
    <w:rsid w:val="00D32EA0"/>
    <w:rsid w:val="00D416AB"/>
    <w:rsid w:val="00D550E6"/>
    <w:rsid w:val="00D76AF7"/>
    <w:rsid w:val="00D800F9"/>
    <w:rsid w:val="00D809BB"/>
    <w:rsid w:val="00D85910"/>
    <w:rsid w:val="00E101DF"/>
    <w:rsid w:val="00E364FD"/>
    <w:rsid w:val="00E73A0A"/>
    <w:rsid w:val="00E81708"/>
    <w:rsid w:val="00E83342"/>
    <w:rsid w:val="00EA2F4C"/>
    <w:rsid w:val="00EE55D6"/>
    <w:rsid w:val="00F04055"/>
    <w:rsid w:val="00F066A5"/>
    <w:rsid w:val="00F258C5"/>
    <w:rsid w:val="00F41C46"/>
    <w:rsid w:val="00F77E55"/>
    <w:rsid w:val="00F91ADC"/>
    <w:rsid w:val="00F95F0E"/>
    <w:rsid w:val="00FA7A03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B7293"/>
  <w15:chartTrackingRefBased/>
  <w15:docId w15:val="{425EBF08-5BC0-46C3-9280-7452549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AB"/>
    <w:pPr>
      <w:spacing w:after="0" w:line="240" w:lineRule="auto"/>
    </w:pPr>
    <w:rPr>
      <w:rFonts w:ascii="HelveticaNeueLT Std" w:hAnsi="HelveticaNeueLT Std"/>
      <w:sz w:val="18"/>
    </w:rPr>
  </w:style>
  <w:style w:type="paragraph" w:styleId="Titre1">
    <w:name w:val="heading 1"/>
    <w:basedOn w:val="Normal"/>
    <w:next w:val="Normal"/>
    <w:link w:val="Titre1Car"/>
    <w:uiPriority w:val="9"/>
    <w:rsid w:val="006E7EAB"/>
    <w:pPr>
      <w:keepNext/>
      <w:keepLines/>
      <w:numPr>
        <w:numId w:val="26"/>
      </w:numPr>
      <w:spacing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6E7EAB"/>
    <w:pPr>
      <w:keepNext/>
      <w:keepLines/>
      <w:numPr>
        <w:ilvl w:val="1"/>
        <w:numId w:val="26"/>
      </w:numPr>
      <w:pBdr>
        <w:bottom w:val="single" w:sz="4" w:space="3" w:color="auto"/>
      </w:pBdr>
      <w:spacing w:after="240"/>
      <w:outlineLvl w:val="1"/>
    </w:pPr>
    <w:rPr>
      <w:rFonts w:ascii="Arial Gras" w:eastAsiaTheme="majorEastAsia" w:hAnsi="Arial Gras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6E7EAB"/>
    <w:pPr>
      <w:keepNext/>
      <w:keepLines/>
      <w:numPr>
        <w:ilvl w:val="2"/>
        <w:numId w:val="26"/>
      </w:numPr>
      <w:tabs>
        <w:tab w:val="left" w:pos="709"/>
      </w:tabs>
      <w:spacing w:after="240"/>
      <w:outlineLvl w:val="2"/>
    </w:pPr>
    <w:rPr>
      <w:rFonts w:ascii="Arial" w:eastAsiaTheme="majorEastAsia" w:hAnsi="Arial" w:cstheme="majorBidi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es">
    <w:name w:val="Annexes"/>
    <w:basedOn w:val="Titre1"/>
    <w:qFormat/>
    <w:rsid w:val="00F41C46"/>
    <w:pPr>
      <w:numPr>
        <w:numId w:val="22"/>
      </w:numPr>
      <w:tabs>
        <w:tab w:val="left" w:pos="1701"/>
      </w:tabs>
      <w:ind w:left="1701" w:hanging="1701"/>
    </w:pPr>
    <w:rPr>
      <w:rFonts w:ascii="Raleway" w:hAnsi="Raleway"/>
    </w:rPr>
  </w:style>
  <w:style w:type="paragraph" w:styleId="Corpsdetexte">
    <w:name w:val="Body Text"/>
    <w:basedOn w:val="Normal"/>
    <w:link w:val="CorpsdetexteCar"/>
    <w:rsid w:val="006E7EAB"/>
    <w:pPr>
      <w:spacing w:after="240" w:line="264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E7EAB"/>
    <w:rPr>
      <w:rFonts w:eastAsia="Times New Roman" w:cs="Times New Roman"/>
      <w:sz w:val="20"/>
      <w:szCs w:val="24"/>
      <w:lang w:eastAsia="fr-FR"/>
    </w:rPr>
  </w:style>
  <w:style w:type="paragraph" w:customStyle="1" w:styleId="corpsdetexte2">
    <w:name w:val="corps de texte 2"/>
    <w:basedOn w:val="Corpsdetexte"/>
    <w:qFormat/>
    <w:rsid w:val="006E7EAB"/>
    <w:pPr>
      <w:spacing w:after="120" w:line="240" w:lineRule="auto"/>
    </w:pPr>
    <w:rPr>
      <w:b/>
    </w:rPr>
  </w:style>
  <w:style w:type="paragraph" w:customStyle="1" w:styleId="Puce1">
    <w:name w:val="Puce 1"/>
    <w:basedOn w:val="Corpsdetexte"/>
    <w:rsid w:val="006E7EAB"/>
    <w:pPr>
      <w:numPr>
        <w:numId w:val="23"/>
      </w:numPr>
      <w:tabs>
        <w:tab w:val="left" w:pos="284"/>
      </w:tabs>
      <w:spacing w:after="6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 2"/>
    <w:basedOn w:val="Puce1"/>
    <w:rsid w:val="00601FF8"/>
    <w:pPr>
      <w:numPr>
        <w:numId w:val="24"/>
      </w:numPr>
      <w:ind w:left="568" w:hanging="284"/>
    </w:pPr>
  </w:style>
  <w:style w:type="character" w:customStyle="1" w:styleId="Titre2Car">
    <w:name w:val="Titre 2 Car"/>
    <w:basedOn w:val="Policepardfaut"/>
    <w:link w:val="Titre2"/>
    <w:uiPriority w:val="9"/>
    <w:rsid w:val="006E7EAB"/>
    <w:rPr>
      <w:rFonts w:ascii="Arial Gras" w:eastAsiaTheme="majorEastAsia" w:hAnsi="Arial Gras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E7EAB"/>
    <w:rPr>
      <w:rFonts w:eastAsiaTheme="majorEastAsia" w:cstheme="majorBidi"/>
      <w:b/>
      <w:bCs/>
      <w:smallCaps/>
      <w:sz w:val="20"/>
    </w:rPr>
  </w:style>
  <w:style w:type="paragraph" w:styleId="TM1">
    <w:name w:val="toc 1"/>
    <w:basedOn w:val="Normal"/>
    <w:next w:val="Normal"/>
    <w:autoRedefine/>
    <w:uiPriority w:val="39"/>
    <w:rsid w:val="006E7EAB"/>
    <w:pPr>
      <w:tabs>
        <w:tab w:val="left" w:pos="425"/>
        <w:tab w:val="right" w:leader="dot" w:pos="9072"/>
      </w:tabs>
      <w:spacing w:before="60" w:after="60"/>
      <w:ind w:left="425" w:right="567" w:hanging="425"/>
    </w:pPr>
    <w:rPr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6E7EAB"/>
    <w:pPr>
      <w:tabs>
        <w:tab w:val="left" w:pos="992"/>
        <w:tab w:val="right" w:leader="dot" w:pos="9072"/>
      </w:tabs>
      <w:spacing w:before="60" w:after="60"/>
      <w:ind w:left="992" w:right="567" w:hanging="567"/>
    </w:pPr>
    <w:rPr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6E7EAB"/>
    <w:pPr>
      <w:tabs>
        <w:tab w:val="left" w:pos="1701"/>
        <w:tab w:val="right" w:leader="dot" w:pos="9072"/>
      </w:tabs>
      <w:spacing w:before="60" w:after="60"/>
      <w:ind w:left="1701" w:right="567" w:hanging="709"/>
    </w:pPr>
    <w:rPr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E7EA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E7EAB"/>
    <w:rPr>
      <w:rFonts w:ascii="HelveticaNeueLT Std" w:hAnsi="HelveticaNeueLT Std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6E7EA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EAB"/>
    <w:rPr>
      <w:rFonts w:ascii="HelveticaNeueLT Std" w:hAnsi="HelveticaNeueLT Std"/>
      <w:sz w:val="18"/>
    </w:rPr>
  </w:style>
  <w:style w:type="table" w:styleId="Grilledutableau">
    <w:name w:val="Table Grid"/>
    <w:basedOn w:val="TableauNormal"/>
    <w:uiPriority w:val="39"/>
    <w:rsid w:val="0072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FF8"/>
    <w:pPr>
      <w:ind w:left="720"/>
      <w:contextualSpacing/>
    </w:pPr>
  </w:style>
  <w:style w:type="character" w:styleId="Lienhypertexte">
    <w:name w:val="Hyperlink"/>
    <w:basedOn w:val="Policepardfaut"/>
    <w:unhideWhenUsed/>
    <w:rsid w:val="00616EC7"/>
    <w:rPr>
      <w:color w:val="0563C1" w:themeColor="hyperlink"/>
      <w:u w:val="single"/>
    </w:rPr>
  </w:style>
  <w:style w:type="paragraph" w:customStyle="1" w:styleId="Annexetitre1">
    <w:name w:val="Annexe (titre 1)"/>
    <w:basedOn w:val="Normal"/>
    <w:next w:val="Titre1"/>
    <w:qFormat/>
    <w:rsid w:val="00AF5D18"/>
    <w:pPr>
      <w:keepNext/>
      <w:numPr>
        <w:ilvl w:val="1"/>
        <w:numId w:val="11"/>
      </w:numPr>
      <w:tabs>
        <w:tab w:val="clear" w:pos="792"/>
        <w:tab w:val="num" w:pos="709"/>
      </w:tabs>
      <w:spacing w:after="240"/>
      <w:ind w:left="709" w:hanging="709"/>
      <w:outlineLvl w:val="1"/>
    </w:pPr>
    <w:rPr>
      <w:rFonts w:ascii="Arial" w:eastAsia="Times New Roman" w:hAnsi="Arial" w:cs="Arial"/>
      <w:b/>
      <w:bCs/>
      <w:sz w:val="28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6E7EAB"/>
    <w:rPr>
      <w:rFonts w:eastAsiaTheme="majorEastAsia" w:cstheme="majorBidi"/>
      <w:b/>
      <w:bCs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B579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79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7966"/>
    <w:rPr>
      <w:rFonts w:ascii="HelveticaNeueLT Std" w:hAnsi="HelveticaNeueLT St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79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7966"/>
    <w:rPr>
      <w:rFonts w:ascii="HelveticaNeueLT Std" w:hAnsi="HelveticaNeueLT St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966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966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81708"/>
    <w:pPr>
      <w:spacing w:after="0" w:line="240" w:lineRule="auto"/>
      <w:ind w:left="567" w:firstLine="142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0565-77A7-4D16-B037-3CBFE6A2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Kareen Shank</dc:creator>
  <cp:keywords/>
  <dc:description/>
  <cp:lastModifiedBy>Danka Kareen Shank</cp:lastModifiedBy>
  <cp:revision>2</cp:revision>
  <cp:lastPrinted>2019-02-01T21:28:00Z</cp:lastPrinted>
  <dcterms:created xsi:type="dcterms:W3CDTF">2019-07-12T17:54:00Z</dcterms:created>
  <dcterms:modified xsi:type="dcterms:W3CDTF">2019-07-12T17:54:00Z</dcterms:modified>
</cp:coreProperties>
</file>