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98" w:type="pct"/>
        <w:tblCellMar>
          <w:top w:w="57" w:type="dxa"/>
        </w:tblCellMar>
        <w:tblLook w:val="04A0" w:firstRow="1" w:lastRow="0" w:firstColumn="1" w:lastColumn="0" w:noHBand="0" w:noVBand="1"/>
      </w:tblPr>
      <w:tblGrid>
        <w:gridCol w:w="1401"/>
        <w:gridCol w:w="7955"/>
      </w:tblGrid>
      <w:tr w:rsidR="00356AD6" w:rsidRPr="001904D1" w14:paraId="65C5667A" w14:textId="77777777" w:rsidTr="00320AE7">
        <w:tc>
          <w:tcPr>
            <w:tcW w:w="1401" w:type="dxa"/>
          </w:tcPr>
          <w:p w14:paraId="643A32E2" w14:textId="77777777" w:rsidR="00356AD6" w:rsidRPr="001904D1" w:rsidRDefault="00356AD6" w:rsidP="00CF70A5">
            <w:pPr>
              <w:rPr>
                <w:szCs w:val="20"/>
              </w:rPr>
            </w:pPr>
            <w:bookmarkStart w:id="0" w:name="_GoBack"/>
            <w:bookmarkEnd w:id="0"/>
            <w:r w:rsidRPr="001904D1">
              <w:rPr>
                <w:szCs w:val="20"/>
              </w:rPr>
              <w:t xml:space="preserve">Rédigé par : </w:t>
            </w:r>
          </w:p>
        </w:tc>
        <w:tc>
          <w:tcPr>
            <w:tcW w:w="7955" w:type="dxa"/>
            <w:tcBorders>
              <w:bottom w:val="single" w:sz="4" w:space="0" w:color="auto"/>
            </w:tcBorders>
            <w:vAlign w:val="bottom"/>
          </w:tcPr>
          <w:p w14:paraId="27BF023B" w14:textId="77777777" w:rsidR="00356AD6" w:rsidRPr="001904D1" w:rsidRDefault="00356AD6" w:rsidP="00CF70A5">
            <w:pPr>
              <w:rPr>
                <w:szCs w:val="20"/>
              </w:rPr>
            </w:pPr>
            <w:r w:rsidRPr="001904D1">
              <w:rPr>
                <w:szCs w:val="20"/>
              </w:rPr>
              <w:t>Philippe Dufresne</w:t>
            </w:r>
          </w:p>
        </w:tc>
      </w:tr>
      <w:tr w:rsidR="00356AD6" w:rsidRPr="001904D1" w14:paraId="6E74F6FD" w14:textId="77777777" w:rsidTr="00320AE7">
        <w:tc>
          <w:tcPr>
            <w:tcW w:w="1401" w:type="dxa"/>
          </w:tcPr>
          <w:p w14:paraId="60F93660" w14:textId="77777777" w:rsidR="00356AD6" w:rsidRPr="001904D1" w:rsidRDefault="00356AD6" w:rsidP="00CF70A5">
            <w:pPr>
              <w:rPr>
                <w:szCs w:val="20"/>
              </w:rPr>
            </w:pPr>
            <w:r w:rsidRPr="001904D1">
              <w:rPr>
                <w:szCs w:val="20"/>
              </w:rPr>
              <w:t>Révisé par :</w:t>
            </w:r>
          </w:p>
        </w:tc>
        <w:tc>
          <w:tcPr>
            <w:tcW w:w="7955" w:type="dxa"/>
            <w:tcBorders>
              <w:top w:val="single" w:sz="4" w:space="0" w:color="auto"/>
              <w:bottom w:val="single" w:sz="4" w:space="0" w:color="auto"/>
            </w:tcBorders>
            <w:vAlign w:val="bottom"/>
          </w:tcPr>
          <w:p w14:paraId="53A7FBD5" w14:textId="11BF3FAD" w:rsidR="00356AD6" w:rsidRPr="001904D1" w:rsidRDefault="00356AD6" w:rsidP="00C01DD7">
            <w:pPr>
              <w:rPr>
                <w:szCs w:val="20"/>
              </w:rPr>
            </w:pPr>
            <w:r>
              <w:rPr>
                <w:szCs w:val="20"/>
              </w:rPr>
              <w:t>Marc-Christian Domingo</w:t>
            </w:r>
            <w:r w:rsidR="00C01DD7">
              <w:rPr>
                <w:szCs w:val="20"/>
              </w:rPr>
              <w:t xml:space="preserve">; </w:t>
            </w:r>
            <w:r w:rsidR="00850CF1">
              <w:rPr>
                <w:szCs w:val="20"/>
              </w:rPr>
              <w:t>Jeannot Dumaresq</w:t>
            </w:r>
            <w:r w:rsidR="00320AE7">
              <w:rPr>
                <w:szCs w:val="20"/>
              </w:rPr>
              <w:t>; Michel Lebrun; Jean Longtin</w:t>
            </w:r>
          </w:p>
        </w:tc>
      </w:tr>
    </w:tbl>
    <w:p w14:paraId="2297C2F6" w14:textId="77777777" w:rsidR="00C01DD7" w:rsidRDefault="00C01DD7" w:rsidP="00C01DD7">
      <w:pPr>
        <w:sectPr w:rsidR="00C01DD7" w:rsidSect="00980A05">
          <w:headerReference w:type="even" r:id="rId8"/>
          <w:headerReference w:type="default" r:id="rId9"/>
          <w:footerReference w:type="even" r:id="rId10"/>
          <w:footerReference w:type="default" r:id="rId11"/>
          <w:pgSz w:w="12240" w:h="15840"/>
          <w:pgMar w:top="1171" w:right="1440" w:bottom="1135" w:left="1440" w:header="709" w:footer="283" w:gutter="0"/>
          <w:cols w:space="708"/>
          <w:docGrid w:linePitch="360"/>
        </w:sectPr>
      </w:pPr>
    </w:p>
    <w:p w14:paraId="331F2897" w14:textId="77777777" w:rsidR="00364034" w:rsidRPr="00364034" w:rsidRDefault="00C01DD7" w:rsidP="006E7EAB">
      <w:pPr>
        <w:pStyle w:val="Titre1"/>
        <w:rPr>
          <w:caps/>
        </w:rPr>
      </w:pPr>
      <w:r>
        <w:t>Objectif / but de l’analyse</w:t>
      </w:r>
    </w:p>
    <w:p w14:paraId="4D64FECC" w14:textId="77777777" w:rsidR="00364034" w:rsidRPr="00980A05" w:rsidRDefault="00364034" w:rsidP="006E7EAB">
      <w:pPr>
        <w:pStyle w:val="Corpsdetexte"/>
      </w:pPr>
      <w:r w:rsidRPr="00980A05">
        <w:t>Cette PON décrit la procédure de préparation (extraction en tube et inactivation) des échantillons pour l'identification des champignons filamenteux d’importance clinique (incluant les champignons opportunistes, dermatophytes et dimorphes) sur l'appareil VITEK</w:t>
      </w:r>
      <w:r w:rsidRPr="00980A05">
        <w:rPr>
          <w:rFonts w:eastAsia="Calibri"/>
          <w:color w:val="000000"/>
        </w:rPr>
        <w:t>®</w:t>
      </w:r>
      <w:r w:rsidRPr="00980A05">
        <w:t xml:space="preserve"> MS (bioMérieux) utilisant la technologie de spectrométrie de masse MALDI-TOF.</w:t>
      </w:r>
    </w:p>
    <w:p w14:paraId="368FBF10" w14:textId="77777777" w:rsidR="00364034" w:rsidRPr="00364034" w:rsidRDefault="00364034" w:rsidP="006E7EAB">
      <w:pPr>
        <w:pStyle w:val="Titre1"/>
      </w:pPr>
      <w:r w:rsidRPr="00364034">
        <w:t>Principe de la méthode / co</w:t>
      </w:r>
      <w:r w:rsidR="00C01DD7">
        <w:t>ntexte / domaine d’application</w:t>
      </w:r>
    </w:p>
    <w:p w14:paraId="43A19251" w14:textId="77777777" w:rsidR="00364034" w:rsidRPr="00980A05" w:rsidRDefault="00364034" w:rsidP="006E7EAB">
      <w:pPr>
        <w:pStyle w:val="Corpsdetexte"/>
      </w:pPr>
      <w:r w:rsidRPr="00980A05">
        <w:t>L’identification de microorganismes par spectrométrie de masse MALDI-TOF repose sur l’analyse de spectres de masse générés à partir d’un échantillon provenant d’une culture pure. Le profil ionique obtenu est ensuite comparé aux spectres de références contenus dans la banque de données du manufacturier afin d</w:t>
      </w:r>
      <w:r w:rsidR="00C01DD7">
        <w:t>’identifier le microorganisme.</w:t>
      </w:r>
    </w:p>
    <w:p w14:paraId="28770E89" w14:textId="7F6AAD8D" w:rsidR="00364034" w:rsidRPr="00980A05" w:rsidRDefault="00364034" w:rsidP="006E7EAB">
      <w:pPr>
        <w:pStyle w:val="Corpsdetexte"/>
      </w:pPr>
      <w:r w:rsidRPr="00980A05">
        <w:t>Alors que les bactéries et levures usuelles peuvent être déposées directement sur la cible d’analyse (avec ou sans extraction à l’acide formique sur lame), une extraction complète en tube est nécessaire avant de procéder à l’identification des champignons filamenteux sur le système MALDI-TOF VITEK</w:t>
      </w:r>
      <w:r w:rsidRPr="00980A05">
        <w:rPr>
          <w:rFonts w:eastAsia="Calibri"/>
          <w:color w:val="000000"/>
        </w:rPr>
        <w:t>®</w:t>
      </w:r>
      <w:r w:rsidRPr="00980A05">
        <w:t xml:space="preserve"> MS. Cette procédure est requise pour maximiser l’extraction </w:t>
      </w:r>
      <w:r w:rsidR="000A56D8">
        <w:t xml:space="preserve">de </w:t>
      </w:r>
      <w:r w:rsidRPr="00980A05">
        <w:t xml:space="preserve">protéines (plus difficile étant donné leur paroi cellulaire rigide) et afin réduire le bruit </w:t>
      </w:r>
      <w:r w:rsidR="000A56D8">
        <w:t xml:space="preserve">de </w:t>
      </w:r>
      <w:r w:rsidRPr="00980A05">
        <w:t>fond dû à leur nature hétérogène en culture (hyphes, spores, etc.) et les nombreux métabolites secondaires qu’ils produisent. L’extraction en tube permet aussi la manipulation sécuritaire, car elle mène à une inactivation complète.</w:t>
      </w:r>
    </w:p>
    <w:p w14:paraId="7A7560D4" w14:textId="77777777" w:rsidR="00364034" w:rsidRPr="00980A05" w:rsidRDefault="00364034" w:rsidP="006E7EAB">
      <w:pPr>
        <w:pStyle w:val="Titre1"/>
      </w:pPr>
      <w:r w:rsidRPr="00364034">
        <w:t>D</w:t>
      </w:r>
      <w:r w:rsidRPr="00980A05">
        <w:t>éfiniti</w:t>
      </w:r>
      <w:r w:rsidR="00C01DD7">
        <w:t>ons / abréviations / acronymes</w:t>
      </w:r>
    </w:p>
    <w:p w14:paraId="041094AA" w14:textId="77777777" w:rsidR="00364034" w:rsidRPr="00980A05" w:rsidRDefault="00364034" w:rsidP="006E7EAB">
      <w:pPr>
        <w:pStyle w:val="Puce1"/>
      </w:pPr>
      <w:r w:rsidRPr="00980A05">
        <w:t>ASPC : Agence de santé publique du Canada</w:t>
      </w:r>
    </w:p>
    <w:p w14:paraId="0B23E3C0" w14:textId="77777777" w:rsidR="00364034" w:rsidRPr="00980A05" w:rsidRDefault="00364034" w:rsidP="006E7EAB">
      <w:pPr>
        <w:pStyle w:val="Puce1"/>
      </w:pPr>
      <w:r w:rsidRPr="00980A05">
        <w:t>CHCA</w:t>
      </w:r>
      <w:r w:rsidR="00C01DD7">
        <w:t> </w:t>
      </w:r>
      <w:r w:rsidRPr="00980A05">
        <w:t>: acide alpha-cyano-4-hydroxycinnamique</w:t>
      </w:r>
    </w:p>
    <w:p w14:paraId="7AE4F3BE" w14:textId="77777777" w:rsidR="00364034" w:rsidRPr="00980A05" w:rsidRDefault="00364034" w:rsidP="006E7EAB">
      <w:pPr>
        <w:pStyle w:val="Puce1"/>
      </w:pPr>
      <w:r w:rsidRPr="00980A05">
        <w:t>ESB : enceinte de sécurité biologique de catégorie II</w:t>
      </w:r>
    </w:p>
    <w:p w14:paraId="3C67CCAA" w14:textId="77777777" w:rsidR="00364034" w:rsidRPr="00980A05" w:rsidRDefault="00364034" w:rsidP="006E7EAB">
      <w:pPr>
        <w:pStyle w:val="Puce1"/>
      </w:pPr>
      <w:r w:rsidRPr="00980A05">
        <w:t>EtOH</w:t>
      </w:r>
      <w:r w:rsidR="00C01DD7">
        <w:t> </w:t>
      </w:r>
      <w:r w:rsidRPr="00980A05">
        <w:t>: alcool éthylique</w:t>
      </w:r>
    </w:p>
    <w:p w14:paraId="75236D59" w14:textId="77777777" w:rsidR="00364034" w:rsidRPr="00980A05" w:rsidRDefault="00364034" w:rsidP="006E7EAB">
      <w:pPr>
        <w:pStyle w:val="Puce1"/>
      </w:pPr>
      <w:r w:rsidRPr="00980A05">
        <w:t>FA</w:t>
      </w:r>
      <w:r w:rsidR="00C01DD7">
        <w:t> </w:t>
      </w:r>
      <w:r w:rsidRPr="00980A05">
        <w:t>: Acide formique</w:t>
      </w:r>
    </w:p>
    <w:p w14:paraId="6B26D622" w14:textId="77777777" w:rsidR="00364034" w:rsidRPr="00980A05" w:rsidRDefault="00364034" w:rsidP="006E7EAB">
      <w:pPr>
        <w:pStyle w:val="Puce1"/>
        <w:rPr>
          <w:lang w:val="en-CA"/>
        </w:rPr>
      </w:pPr>
      <w:r w:rsidRPr="00980A05">
        <w:rPr>
          <w:lang w:val="en-CA"/>
        </w:rPr>
        <w:t>MALDI-TOF</w:t>
      </w:r>
      <w:r w:rsidR="00C01DD7">
        <w:rPr>
          <w:lang w:val="en-CA"/>
        </w:rPr>
        <w:t> </w:t>
      </w:r>
      <w:r w:rsidRPr="00980A05">
        <w:rPr>
          <w:lang w:val="en-CA"/>
        </w:rPr>
        <w:t>: Matrix-assisted laser desorption ionization - Time of flight</w:t>
      </w:r>
    </w:p>
    <w:p w14:paraId="4BF1B848" w14:textId="77777777" w:rsidR="00364034" w:rsidRPr="00980A05" w:rsidRDefault="00364034" w:rsidP="006E7EAB">
      <w:pPr>
        <w:pStyle w:val="Puce1"/>
      </w:pPr>
      <w:r w:rsidRPr="00980A05">
        <w:t>PDA</w:t>
      </w:r>
      <w:r w:rsidR="00C01DD7">
        <w:t> </w:t>
      </w:r>
      <w:r w:rsidRPr="00980A05">
        <w:t>: gélose pomme de terre dextrose</w:t>
      </w:r>
    </w:p>
    <w:p w14:paraId="13378B95" w14:textId="77777777" w:rsidR="00364034" w:rsidRPr="00980A05" w:rsidRDefault="00364034" w:rsidP="006E7EAB">
      <w:pPr>
        <w:pStyle w:val="Puce1"/>
      </w:pPr>
      <w:r w:rsidRPr="00980A05">
        <w:t>SAB</w:t>
      </w:r>
      <w:r w:rsidR="00C01DD7">
        <w:t> </w:t>
      </w:r>
      <w:r w:rsidRPr="00980A05">
        <w:t>: gélose Sabouraud dextrose</w:t>
      </w:r>
    </w:p>
    <w:p w14:paraId="54F29C68" w14:textId="77777777" w:rsidR="00364034" w:rsidRDefault="00364034" w:rsidP="006E7EAB">
      <w:pPr>
        <w:pStyle w:val="Puce1"/>
        <w:spacing w:after="240"/>
      </w:pPr>
      <w:r w:rsidRPr="00980A05">
        <w:t>RPM</w:t>
      </w:r>
      <w:r w:rsidR="00C01DD7">
        <w:t> </w:t>
      </w:r>
      <w:r w:rsidRPr="00980A05">
        <w:t>: rotation par minute</w:t>
      </w:r>
    </w:p>
    <w:p w14:paraId="7A673458" w14:textId="77777777" w:rsidR="007277CF" w:rsidRDefault="007277CF">
      <w:pPr>
        <w:spacing w:after="160" w:line="259" w:lineRule="auto"/>
      </w:pPr>
      <w:r>
        <w:br w:type="page"/>
      </w:r>
    </w:p>
    <w:p w14:paraId="645009C1" w14:textId="77777777" w:rsidR="00364034" w:rsidRPr="00364034" w:rsidRDefault="00C01DD7" w:rsidP="006E7EAB">
      <w:pPr>
        <w:pStyle w:val="Titre1"/>
      </w:pPr>
      <w:r>
        <w:lastRenderedPageBreak/>
        <w:t>Responsabilités</w:t>
      </w:r>
    </w:p>
    <w:p w14:paraId="6D931FA1" w14:textId="77777777" w:rsidR="00364034" w:rsidRPr="00980A05" w:rsidRDefault="00364034" w:rsidP="006E7EAB">
      <w:pPr>
        <w:pStyle w:val="Corpsdetexte"/>
      </w:pPr>
      <w:r w:rsidRPr="00980A05">
        <w:t>Les technologistes sont responsables de générer des résultats de quali</w:t>
      </w:r>
      <w:r w:rsidR="009F3B88">
        <w:t>té conformes à cette procédure.</w:t>
      </w:r>
    </w:p>
    <w:p w14:paraId="4031609E" w14:textId="77777777" w:rsidR="00364034" w:rsidRPr="00980A05" w:rsidRDefault="00364034" w:rsidP="006E7EAB">
      <w:pPr>
        <w:pStyle w:val="Corpsdetexte"/>
      </w:pPr>
      <w:r w:rsidRPr="00980A05">
        <w:t xml:space="preserve">Les microbiologistes-infectiologues et les responsables du laboratoire s’assurent que le personnel est formé adéquatement, que la procédure est maintenue à jour et </w:t>
      </w:r>
      <w:r w:rsidR="009F3B88">
        <w:t>que les résultats sont valides.</w:t>
      </w:r>
    </w:p>
    <w:p w14:paraId="4154746D" w14:textId="77777777" w:rsidR="005011E4" w:rsidRPr="005011E4" w:rsidRDefault="00364034" w:rsidP="006E7EAB">
      <w:pPr>
        <w:pStyle w:val="Titre1"/>
      </w:pPr>
      <w:r w:rsidRPr="005011E4">
        <w:t>Énon</w:t>
      </w:r>
      <w:r w:rsidR="009F3B88">
        <w:t>cé / système de fonctionnement</w:t>
      </w:r>
    </w:p>
    <w:p w14:paraId="60034A12" w14:textId="77777777" w:rsidR="00364034" w:rsidRPr="00364034" w:rsidRDefault="009F3B88" w:rsidP="006E7EAB">
      <w:pPr>
        <w:pStyle w:val="Titre2"/>
      </w:pPr>
      <w:r>
        <w:t>Spécimen</w:t>
      </w:r>
    </w:p>
    <w:p w14:paraId="793D7186" w14:textId="77777777" w:rsidR="00364034" w:rsidRPr="005011E4" w:rsidRDefault="00364034" w:rsidP="006E7EAB">
      <w:pPr>
        <w:pStyle w:val="Titre3"/>
      </w:pPr>
      <w:r w:rsidRPr="005011E4">
        <w:t>Mise en culture</w:t>
      </w:r>
    </w:p>
    <w:p w14:paraId="45390B7A" w14:textId="77777777" w:rsidR="00364034" w:rsidRPr="00364034" w:rsidRDefault="00364034" w:rsidP="006E7EAB">
      <w:pPr>
        <w:pStyle w:val="Corpsdetexte"/>
        <w:spacing w:after="120"/>
      </w:pPr>
      <w:r w:rsidRPr="00364034">
        <w:t>Champignon filamenteux ayant été mis en culture pendant 2 à 8 jours (5 à 25 jours souches à croissance lente) sur les milieux suivants approuvés par bioMérieux</w:t>
      </w:r>
      <w:r w:rsidR="0089325B">
        <w:t>.</w:t>
      </w:r>
    </w:p>
    <w:p w14:paraId="387A3371" w14:textId="77777777" w:rsidR="00364034" w:rsidRPr="002B53A1" w:rsidRDefault="00364034" w:rsidP="006E7EAB">
      <w:pPr>
        <w:pStyle w:val="Puce1"/>
      </w:pPr>
      <w:r w:rsidRPr="002B53A1">
        <w:t>gélose pomme de terre dextrose (PDA)</w:t>
      </w:r>
      <w:r w:rsidR="006E7EAB">
        <w:t>.</w:t>
      </w:r>
    </w:p>
    <w:p w14:paraId="43145403" w14:textId="77777777" w:rsidR="00364034" w:rsidRPr="006E7EAB" w:rsidRDefault="00364034" w:rsidP="006E7EAB">
      <w:pPr>
        <w:pStyle w:val="Puce1"/>
      </w:pPr>
      <w:r w:rsidRPr="006E7EAB">
        <w:t xml:space="preserve">gélose Sabouraud dextrose* (SAB; 40 g/L – pH 5,6) </w:t>
      </w:r>
      <w:r w:rsidRPr="00320AE7">
        <w:rPr>
          <w:i/>
          <w:sz w:val="16"/>
        </w:rPr>
        <w:t>*avec ou sans chloramphénicol ou gentamicine</w:t>
      </w:r>
      <w:r w:rsidRPr="006E7EAB">
        <w:t>.</w:t>
      </w:r>
    </w:p>
    <w:p w14:paraId="7DE7C862" w14:textId="77777777" w:rsidR="00364034" w:rsidRPr="006E7EAB" w:rsidRDefault="00364034" w:rsidP="006E7EAB">
      <w:pPr>
        <w:pStyle w:val="Puce1"/>
        <w:spacing w:after="240"/>
      </w:pPr>
      <w:r w:rsidRPr="006E7EAB">
        <w:t xml:space="preserve">gélose Trypcase-soja** (avec ou sans neutralisant) </w:t>
      </w:r>
      <w:r w:rsidRPr="00320AE7">
        <w:rPr>
          <w:i/>
          <w:sz w:val="16"/>
        </w:rPr>
        <w:t>**pas testée au LSPQ</w:t>
      </w:r>
      <w:r w:rsidR="006E7EAB">
        <w:t>.</w:t>
      </w:r>
    </w:p>
    <w:p w14:paraId="3FFF5AE0" w14:textId="77777777" w:rsidR="00364034" w:rsidRDefault="00364034" w:rsidP="006E7EAB">
      <w:pPr>
        <w:pStyle w:val="Corpsdetexte"/>
      </w:pPr>
      <w:r w:rsidRPr="00364034">
        <w:t>Les conditions et températures d’incubation des spécimens cliniques sont propres à chaque microorganisme et ne font l’objet d’aucune recommandation du fabricant. Pour la mise en culture des champignons, nous vous recommandons une incubation à une température de 30</w:t>
      </w:r>
      <w:r w:rsidR="006E7EAB">
        <w:t> </w:t>
      </w:r>
      <w:r w:rsidRPr="00364034">
        <w:t>°C.</w:t>
      </w:r>
    </w:p>
    <w:p w14:paraId="424E2635" w14:textId="77777777" w:rsidR="00364034" w:rsidRDefault="00364034" w:rsidP="006E7EAB">
      <w:pPr>
        <w:pStyle w:val="Titre3"/>
      </w:pPr>
      <w:r w:rsidRPr="00364034">
        <w:t>Réception du spécimen et critères de rejet</w:t>
      </w:r>
    </w:p>
    <w:p w14:paraId="4B1C8922" w14:textId="77777777" w:rsidR="00364034" w:rsidRPr="0089325B" w:rsidRDefault="00364034" w:rsidP="0089325B">
      <w:pPr>
        <w:pStyle w:val="Puce1"/>
      </w:pPr>
      <w:r w:rsidRPr="0089325B">
        <w:t>Souche mixte ou contaminée par bactéries</w:t>
      </w:r>
      <w:r w:rsidR="006E7EAB" w:rsidRPr="0089325B">
        <w:t>.</w:t>
      </w:r>
    </w:p>
    <w:p w14:paraId="20C5BAF0" w14:textId="77777777" w:rsidR="00364034" w:rsidRPr="0089325B" w:rsidRDefault="00364034" w:rsidP="0089325B">
      <w:pPr>
        <w:pStyle w:val="Puce1"/>
      </w:pPr>
      <w:r w:rsidRPr="0089325B">
        <w:t>Selon les procédures usuelles propres à chaque laboratoire.</w:t>
      </w:r>
    </w:p>
    <w:p w14:paraId="5CA15E01" w14:textId="77777777" w:rsidR="00364034" w:rsidRPr="0089325B" w:rsidRDefault="00364034" w:rsidP="0089325B">
      <w:pPr>
        <w:pStyle w:val="Puce1"/>
        <w:spacing w:after="240"/>
      </w:pPr>
      <w:r w:rsidRPr="0089325B">
        <w:t>Selon les critères de rejets usuels (fuite du spécimen, contenant endommagé, spécimen sans requête ou identifiant).</w:t>
      </w:r>
    </w:p>
    <w:p w14:paraId="35A03DE1" w14:textId="77777777" w:rsidR="00364034" w:rsidRPr="00364034" w:rsidRDefault="00364034" w:rsidP="006E7EAB">
      <w:pPr>
        <w:pStyle w:val="Titre2"/>
      </w:pPr>
      <w:r w:rsidRPr="00364034">
        <w:t>Équipement</w:t>
      </w:r>
    </w:p>
    <w:p w14:paraId="5F72C1B2" w14:textId="77777777" w:rsidR="00364034" w:rsidRPr="00B704FE" w:rsidRDefault="00364034" w:rsidP="006E7EAB">
      <w:pPr>
        <w:pStyle w:val="Puce1"/>
        <w:rPr>
          <w:b/>
        </w:rPr>
      </w:pPr>
      <w:r w:rsidRPr="00B704FE">
        <w:t>Appareil VITEK</w:t>
      </w:r>
      <w:r w:rsidRPr="00B704FE">
        <w:sym w:font="Symbol" w:char="F0D2"/>
      </w:r>
      <w:r w:rsidRPr="00B704FE">
        <w:t xml:space="preserve"> MS (bioMérieux)</w:t>
      </w:r>
    </w:p>
    <w:p w14:paraId="507DA527" w14:textId="77777777" w:rsidR="00364034" w:rsidRPr="00B704FE" w:rsidRDefault="00364034" w:rsidP="006E7EAB">
      <w:pPr>
        <w:pStyle w:val="Puce1"/>
        <w:rPr>
          <w:b/>
        </w:rPr>
      </w:pPr>
      <w:r w:rsidRPr="00B704FE">
        <w:t>Enceinte de sécurité biologique de classe</w:t>
      </w:r>
      <w:r w:rsidR="0089325B">
        <w:t> </w:t>
      </w:r>
      <w:r w:rsidRPr="00B704FE">
        <w:t>II</w:t>
      </w:r>
    </w:p>
    <w:p w14:paraId="7F359AB0" w14:textId="77777777" w:rsidR="00364034" w:rsidRPr="00B704FE" w:rsidRDefault="00364034" w:rsidP="006E7EAB">
      <w:pPr>
        <w:pStyle w:val="Puce1"/>
        <w:rPr>
          <w:b/>
        </w:rPr>
      </w:pPr>
      <w:r w:rsidRPr="00B704FE">
        <w:t>Incubateur (conditions aérobiques) réglé à 30</w:t>
      </w:r>
      <w:r w:rsidR="0089325B">
        <w:t> </w:t>
      </w:r>
      <w:r w:rsidRPr="00B704FE">
        <w:t>°C (+/- 2</w:t>
      </w:r>
      <w:r w:rsidR="0089325B">
        <w:t> </w:t>
      </w:r>
      <w:r w:rsidRPr="00B704FE">
        <w:t>°C)</w:t>
      </w:r>
    </w:p>
    <w:p w14:paraId="467C43C1" w14:textId="77777777" w:rsidR="00364034" w:rsidRPr="00B704FE" w:rsidRDefault="00364034" w:rsidP="006E7EAB">
      <w:pPr>
        <w:pStyle w:val="Puce1"/>
        <w:rPr>
          <w:b/>
        </w:rPr>
      </w:pPr>
      <w:r w:rsidRPr="00B704FE">
        <w:t>Micropipette de précision (P2</w:t>
      </w:r>
      <w:r w:rsidR="0089325B">
        <w:t> </w:t>
      </w:r>
      <w:r w:rsidRPr="00B704FE">
        <w:t>: 0,5 à 2</w:t>
      </w:r>
      <w:r w:rsidR="0089325B">
        <w:t> </w:t>
      </w:r>
      <w:r w:rsidRPr="00B704FE">
        <w:t>μl ou P10:1 à 10</w:t>
      </w:r>
      <w:r w:rsidR="0089325B">
        <w:t> </w:t>
      </w:r>
      <w:r w:rsidRPr="00B704FE">
        <w:t>μl)</w:t>
      </w:r>
    </w:p>
    <w:p w14:paraId="284019A8" w14:textId="77777777" w:rsidR="00364034" w:rsidRPr="00B704FE" w:rsidRDefault="00364034" w:rsidP="006E7EAB">
      <w:pPr>
        <w:pStyle w:val="Puce1"/>
        <w:rPr>
          <w:b/>
        </w:rPr>
      </w:pPr>
      <w:r w:rsidRPr="00B704FE">
        <w:t>Micropipettes (P100, P1000 ou équivalentes)</w:t>
      </w:r>
    </w:p>
    <w:p w14:paraId="3E251401" w14:textId="77777777" w:rsidR="00364034" w:rsidRPr="00B704FE" w:rsidRDefault="00364034" w:rsidP="006E7EAB">
      <w:pPr>
        <w:pStyle w:val="Puce1"/>
        <w:rPr>
          <w:b/>
          <w:i/>
        </w:rPr>
      </w:pPr>
      <w:r w:rsidRPr="00B704FE">
        <w:t xml:space="preserve">Microcentrifugeuse capable d'atteindre 10 000 à 14 000 x </w:t>
      </w:r>
      <w:r w:rsidRPr="00B704FE">
        <w:rPr>
          <w:i/>
        </w:rPr>
        <w:t>g</w:t>
      </w:r>
    </w:p>
    <w:p w14:paraId="2F7D3944" w14:textId="77777777" w:rsidR="00364034" w:rsidRPr="00B704FE" w:rsidRDefault="00364034" w:rsidP="006E7EAB">
      <w:pPr>
        <w:pStyle w:val="Puce1"/>
        <w:rPr>
          <w:b/>
        </w:rPr>
      </w:pPr>
      <w:r w:rsidRPr="00B704FE">
        <w:t>Vortex</w:t>
      </w:r>
    </w:p>
    <w:p w14:paraId="720AA371" w14:textId="77777777" w:rsidR="00364034" w:rsidRPr="00B704FE" w:rsidRDefault="00364034" w:rsidP="006E7EAB">
      <w:pPr>
        <w:pStyle w:val="Puce1"/>
        <w:rPr>
          <w:b/>
        </w:rPr>
      </w:pPr>
      <w:r w:rsidRPr="00B704FE">
        <w:t xml:space="preserve">Micropipette permettant pipettage de 15 à </w:t>
      </w:r>
      <w:r w:rsidRPr="0089325B">
        <w:t>35</w:t>
      </w:r>
      <w:r w:rsidR="0089325B">
        <w:t> </w:t>
      </w:r>
      <w:r w:rsidRPr="0089325B">
        <w:t>mL</w:t>
      </w:r>
      <w:r w:rsidR="007277CF">
        <w:t xml:space="preserve"> (optionnel)</w:t>
      </w:r>
    </w:p>
    <w:p w14:paraId="1D2D19AB" w14:textId="77777777" w:rsidR="00364034" w:rsidRPr="007277CF" w:rsidRDefault="00364034" w:rsidP="007277CF">
      <w:pPr>
        <w:pStyle w:val="Puce1"/>
        <w:spacing w:after="240"/>
        <w:rPr>
          <w:b/>
        </w:rPr>
      </w:pPr>
      <w:r w:rsidRPr="00B704FE">
        <w:t>Réfrigérateur réglé à 4</w:t>
      </w:r>
      <w:r w:rsidR="0089325B">
        <w:t> </w:t>
      </w:r>
      <w:r w:rsidRPr="00B704FE">
        <w:t>°C (optionnel)</w:t>
      </w:r>
    </w:p>
    <w:p w14:paraId="663E7316" w14:textId="77777777" w:rsidR="007277CF" w:rsidRDefault="007277CF">
      <w:pPr>
        <w:spacing w:after="160" w:line="259" w:lineRule="auto"/>
      </w:pPr>
      <w:r>
        <w:br w:type="page"/>
      </w:r>
    </w:p>
    <w:p w14:paraId="04D1F527" w14:textId="77777777" w:rsidR="00364034" w:rsidRPr="00364034" w:rsidRDefault="007277CF" w:rsidP="007277CF">
      <w:pPr>
        <w:pStyle w:val="Titre2"/>
      </w:pPr>
      <w:r>
        <w:lastRenderedPageBreak/>
        <w:t>Matériel et réactifs</w:t>
      </w:r>
    </w:p>
    <w:p w14:paraId="05B68AB3" w14:textId="77777777" w:rsidR="00364034" w:rsidRPr="00364034" w:rsidRDefault="00364034" w:rsidP="007277CF">
      <w:pPr>
        <w:pStyle w:val="corpsdetexte2"/>
      </w:pPr>
      <w:r w:rsidRPr="00364034">
        <w:t>Milieux</w:t>
      </w:r>
      <w:r w:rsidR="007277CF">
        <w:t> </w:t>
      </w:r>
      <w:r w:rsidRPr="00364034">
        <w:t>: les trois milieux suivants so</w:t>
      </w:r>
      <w:r w:rsidR="007277CF">
        <w:t>nt validés par le manufacturier</w:t>
      </w:r>
    </w:p>
    <w:p w14:paraId="46F3AAFA" w14:textId="77777777" w:rsidR="00364034" w:rsidRPr="00B704FE" w:rsidRDefault="00364034" w:rsidP="007277CF">
      <w:pPr>
        <w:pStyle w:val="Puce1"/>
        <w:rPr>
          <w:b/>
        </w:rPr>
      </w:pPr>
      <w:r w:rsidRPr="00B704FE">
        <w:t>gélose pomme de terre dextrose (PDA)</w:t>
      </w:r>
    </w:p>
    <w:p w14:paraId="0CF30A45" w14:textId="70FA8F4F" w:rsidR="00364034" w:rsidRPr="007277CF" w:rsidRDefault="00364034" w:rsidP="007277CF">
      <w:pPr>
        <w:pStyle w:val="Puce1"/>
      </w:pPr>
      <w:r w:rsidRPr="007277CF">
        <w:t xml:space="preserve">gélose Sabouraud dextrose* (SAB; 40 g/L – pH 5,6) </w:t>
      </w:r>
      <w:r w:rsidRPr="00320AE7">
        <w:rPr>
          <w:i/>
          <w:sz w:val="16"/>
        </w:rPr>
        <w:t>*avec ou sans chloramphénicol ou gentamicine</w:t>
      </w:r>
      <w:r w:rsidR="00320AE7" w:rsidRPr="00320AE7">
        <w:t>.</w:t>
      </w:r>
    </w:p>
    <w:p w14:paraId="62DDBD8D" w14:textId="5758C422" w:rsidR="00364034" w:rsidRPr="007277CF" w:rsidRDefault="00364034" w:rsidP="007277CF">
      <w:pPr>
        <w:pStyle w:val="Puce1"/>
        <w:spacing w:after="240"/>
      </w:pPr>
      <w:r w:rsidRPr="007277CF">
        <w:t xml:space="preserve">gélose Trypcase-soja** (avec ou sans neutralisant) </w:t>
      </w:r>
      <w:r w:rsidRPr="00320AE7">
        <w:rPr>
          <w:i/>
          <w:sz w:val="16"/>
        </w:rPr>
        <w:t>**pas testé au LSPQ</w:t>
      </w:r>
      <w:r w:rsidR="00320AE7" w:rsidRPr="00320AE7">
        <w:t>.</w:t>
      </w:r>
    </w:p>
    <w:p w14:paraId="6FBDA4CF" w14:textId="77777777" w:rsidR="00364034" w:rsidRPr="00364034" w:rsidRDefault="007277CF" w:rsidP="007277CF">
      <w:pPr>
        <w:pStyle w:val="corpsdetexte2"/>
      </w:pPr>
      <w:r>
        <w:t>Consommables</w:t>
      </w:r>
    </w:p>
    <w:p w14:paraId="59688A31" w14:textId="77777777" w:rsidR="00364034" w:rsidRPr="007277CF" w:rsidRDefault="00364034" w:rsidP="007277CF">
      <w:pPr>
        <w:pStyle w:val="Puce1"/>
      </w:pPr>
      <w:r w:rsidRPr="007277CF">
        <w:t>Écouvillons stériles</w:t>
      </w:r>
    </w:p>
    <w:p w14:paraId="1A8A5058" w14:textId="664BA046" w:rsidR="00364034" w:rsidRPr="007277CF" w:rsidRDefault="00364034" w:rsidP="007277CF">
      <w:pPr>
        <w:pStyle w:val="Puce1"/>
      </w:pPr>
      <w:r w:rsidRPr="007277CF">
        <w:t>Microtubes de 1,5 / 2,0</w:t>
      </w:r>
      <w:r w:rsidR="0089325B">
        <w:t> </w:t>
      </w:r>
      <w:r w:rsidRPr="007277CF">
        <w:t xml:space="preserve">ml </w:t>
      </w:r>
      <w:r w:rsidR="000A56D8">
        <w:t xml:space="preserve">coniques </w:t>
      </w:r>
      <w:r w:rsidRPr="007277CF">
        <w:t>ou RBT de 2</w:t>
      </w:r>
      <w:r w:rsidR="0089325B">
        <w:t> </w:t>
      </w:r>
      <w:r w:rsidRPr="007277CF">
        <w:t>mL (fournis avec la trousse VITEK MS MOULD KIT r</w:t>
      </w:r>
      <w:r w:rsidR="003C1E63">
        <w:t>e</w:t>
      </w:r>
      <w:r w:rsidR="0089325B">
        <w:t>f</w:t>
      </w:r>
      <w:r w:rsidR="003C1E63">
        <w:t> </w:t>
      </w:r>
      <w:r w:rsidR="00467787">
        <w:t>: </w:t>
      </w:r>
      <w:r w:rsidRPr="007277CF">
        <w:t>41580)</w:t>
      </w:r>
    </w:p>
    <w:p w14:paraId="473911F1" w14:textId="77777777" w:rsidR="00364034" w:rsidRPr="007277CF" w:rsidRDefault="00364034" w:rsidP="007277CF">
      <w:pPr>
        <w:pStyle w:val="Puce1"/>
      </w:pPr>
      <w:r w:rsidRPr="007277CF">
        <w:t>Embouts de pipette stériles et sans filtre (P2, P10, P100 et P1000)</w:t>
      </w:r>
    </w:p>
    <w:p w14:paraId="73721973" w14:textId="458AA05D" w:rsidR="00364034" w:rsidRPr="002B58CB" w:rsidRDefault="00364034" w:rsidP="000A56D8">
      <w:pPr>
        <w:pStyle w:val="Puce1"/>
      </w:pPr>
      <w:r w:rsidRPr="007277CF">
        <w:t>Lames VITEK</w:t>
      </w:r>
      <w:r w:rsidRPr="007277CF">
        <w:sym w:font="Symbol" w:char="F0D2"/>
      </w:r>
      <w:r w:rsidRPr="007277CF">
        <w:t xml:space="preserve"> MS-DS – Lames jetables pour dépôt </w:t>
      </w:r>
      <w:r w:rsidRPr="00320AE7">
        <w:rPr>
          <w:sz w:val="16"/>
        </w:rPr>
        <w:t>(r</w:t>
      </w:r>
      <w:r w:rsidR="00320AE7">
        <w:rPr>
          <w:sz w:val="16"/>
        </w:rPr>
        <w:t>e</w:t>
      </w:r>
      <w:r w:rsidR="0089325B" w:rsidRPr="00320AE7">
        <w:rPr>
          <w:sz w:val="16"/>
        </w:rPr>
        <w:t>f</w:t>
      </w:r>
      <w:r w:rsidR="00320AE7">
        <w:rPr>
          <w:sz w:val="16"/>
        </w:rPr>
        <w:t>.</w:t>
      </w:r>
      <w:r w:rsidR="0089325B" w:rsidRPr="00320AE7">
        <w:rPr>
          <w:sz w:val="16"/>
        </w:rPr>
        <w:t> :</w:t>
      </w:r>
      <w:r w:rsidRPr="00320AE7">
        <w:rPr>
          <w:sz w:val="16"/>
        </w:rPr>
        <w:t xml:space="preserve"> 410893 - bioMérieux)</w:t>
      </w:r>
    </w:p>
    <w:p w14:paraId="7D5F498F" w14:textId="59D5529A" w:rsidR="002B58CB" w:rsidRPr="002B58CB" w:rsidRDefault="002B58CB" w:rsidP="002B58CB">
      <w:pPr>
        <w:pStyle w:val="Puce1"/>
        <w:rPr>
          <w:szCs w:val="20"/>
        </w:rPr>
      </w:pPr>
      <w:r>
        <w:rPr>
          <w:szCs w:val="20"/>
        </w:rPr>
        <w:t>Pipette de transfert (optionnel)</w:t>
      </w:r>
    </w:p>
    <w:p w14:paraId="1E6178CC" w14:textId="77777777" w:rsidR="000A56D8" w:rsidRDefault="000A56D8" w:rsidP="007277CF">
      <w:pPr>
        <w:pStyle w:val="corpsdetexte2"/>
      </w:pPr>
    </w:p>
    <w:p w14:paraId="7B4734E1" w14:textId="77777777" w:rsidR="00364034" w:rsidRPr="00364034" w:rsidRDefault="00364034" w:rsidP="007277CF">
      <w:pPr>
        <w:pStyle w:val="corpsdetexte2"/>
      </w:pPr>
      <w:r w:rsidRPr="00364034">
        <w:t>Réactifs</w:t>
      </w:r>
    </w:p>
    <w:p w14:paraId="75C48F5A" w14:textId="77777777" w:rsidR="00364034" w:rsidRPr="00467787" w:rsidRDefault="00364034" w:rsidP="007277CF">
      <w:pPr>
        <w:pStyle w:val="corpsdetexte2"/>
        <w:rPr>
          <w:color w:val="0000FF"/>
          <w:szCs w:val="20"/>
        </w:rPr>
      </w:pPr>
      <w:r w:rsidRPr="00467787">
        <w:rPr>
          <w:color w:val="0000FF"/>
          <w:szCs w:val="20"/>
        </w:rPr>
        <w:t>Trousse VITEK</w:t>
      </w:r>
      <w:r w:rsidRPr="00467787">
        <w:rPr>
          <w:color w:val="0000FF"/>
          <w:szCs w:val="20"/>
        </w:rPr>
        <w:sym w:font="Symbol" w:char="F0D2"/>
      </w:r>
      <w:r w:rsidRPr="00467787">
        <w:rPr>
          <w:color w:val="0000FF"/>
          <w:szCs w:val="20"/>
        </w:rPr>
        <w:t xml:space="preserve"> MS MOULD KIT (ref. 41580 - bioMérieux)</w:t>
      </w:r>
    </w:p>
    <w:p w14:paraId="10BC5407" w14:textId="77777777" w:rsidR="00364034" w:rsidRPr="00B704FE" w:rsidRDefault="00364034" w:rsidP="007277CF">
      <w:pPr>
        <w:pStyle w:val="Puce1"/>
        <w:rPr>
          <w:b/>
        </w:rPr>
      </w:pPr>
      <w:r w:rsidRPr="00B704FE">
        <w:t>Solution R1 – Éthanol (70</w:t>
      </w:r>
      <w:r w:rsidR="007277CF">
        <w:t> </w:t>
      </w:r>
      <w:r w:rsidRPr="00B704FE">
        <w:t>% v/v)</w:t>
      </w:r>
    </w:p>
    <w:p w14:paraId="23F04C6A" w14:textId="77777777" w:rsidR="00364034" w:rsidRPr="00B704FE" w:rsidRDefault="00364034" w:rsidP="007277CF">
      <w:pPr>
        <w:pStyle w:val="Puce1"/>
        <w:rPr>
          <w:b/>
        </w:rPr>
      </w:pPr>
      <w:r w:rsidRPr="00B704FE">
        <w:t>Solution R2  – Acide formique (70</w:t>
      </w:r>
      <w:r w:rsidR="007277CF">
        <w:t> </w:t>
      </w:r>
      <w:r w:rsidRPr="00B704FE">
        <w:t>% v/v)</w:t>
      </w:r>
    </w:p>
    <w:p w14:paraId="54B03701" w14:textId="77777777" w:rsidR="00364034" w:rsidRPr="00B704FE" w:rsidRDefault="00364034" w:rsidP="007277CF">
      <w:pPr>
        <w:pStyle w:val="Puce1"/>
        <w:spacing w:after="0"/>
        <w:rPr>
          <w:b/>
        </w:rPr>
      </w:pPr>
      <w:r w:rsidRPr="00B704FE">
        <w:t>Solution R3  – Acétonitrile (100</w:t>
      </w:r>
      <w:r w:rsidR="007277CF">
        <w:t> </w:t>
      </w:r>
      <w:r w:rsidRPr="00B704FE">
        <w:t>% v/v)</w:t>
      </w:r>
    </w:p>
    <w:p w14:paraId="073AF98F" w14:textId="77777777" w:rsidR="00364034" w:rsidRPr="007277CF" w:rsidRDefault="007277CF" w:rsidP="007277CF">
      <w:pPr>
        <w:pStyle w:val="Corpsdetexte"/>
        <w:spacing w:before="240"/>
        <w:rPr>
          <w:b/>
          <w:color w:val="FF0000"/>
        </w:rPr>
      </w:pPr>
      <w:r>
        <w:rPr>
          <w:b/>
          <w:color w:val="FF0000"/>
        </w:rPr>
        <w:t>OU</w:t>
      </w:r>
    </w:p>
    <w:p w14:paraId="7C848E67" w14:textId="77777777" w:rsidR="00364034" w:rsidRPr="007277CF" w:rsidRDefault="00364034" w:rsidP="007277CF">
      <w:pPr>
        <w:pStyle w:val="corpsdetexte2"/>
        <w:rPr>
          <w:color w:val="0000FF"/>
        </w:rPr>
      </w:pPr>
      <w:r w:rsidRPr="007277CF">
        <w:rPr>
          <w:color w:val="0000FF"/>
        </w:rPr>
        <w:t>Réactifs maison (voir annexe 1 pour préparat</w:t>
      </w:r>
      <w:r w:rsidR="00467787">
        <w:rPr>
          <w:color w:val="0000FF"/>
        </w:rPr>
        <w:t>ion et fournisseur recommandés)</w:t>
      </w:r>
    </w:p>
    <w:p w14:paraId="0458131D" w14:textId="77777777" w:rsidR="00364034" w:rsidRPr="00B704FE" w:rsidRDefault="00364034" w:rsidP="007277CF">
      <w:pPr>
        <w:pStyle w:val="Puce1"/>
        <w:rPr>
          <w:b/>
        </w:rPr>
      </w:pPr>
      <w:r w:rsidRPr="00B704FE">
        <w:t>Éthanol anhydre (70</w:t>
      </w:r>
      <w:r w:rsidR="007277CF">
        <w:t> </w:t>
      </w:r>
      <w:r w:rsidRPr="00B704FE">
        <w:t>% v/v)</w:t>
      </w:r>
    </w:p>
    <w:p w14:paraId="41E1DF3B" w14:textId="77777777" w:rsidR="00364034" w:rsidRPr="00B704FE" w:rsidRDefault="00364034" w:rsidP="007277CF">
      <w:pPr>
        <w:pStyle w:val="Puce1"/>
        <w:rPr>
          <w:b/>
        </w:rPr>
      </w:pPr>
      <w:r w:rsidRPr="00B704FE">
        <w:t>Acide formique (70</w:t>
      </w:r>
      <w:r w:rsidR="007277CF">
        <w:t> </w:t>
      </w:r>
      <w:r w:rsidRPr="00B704FE">
        <w:t>% v/v)</w:t>
      </w:r>
    </w:p>
    <w:p w14:paraId="113DADE8" w14:textId="77777777" w:rsidR="00364034" w:rsidRPr="002B6EDB" w:rsidRDefault="00364034" w:rsidP="007277CF">
      <w:pPr>
        <w:pStyle w:val="Puce1"/>
        <w:rPr>
          <w:b/>
        </w:rPr>
      </w:pPr>
      <w:r w:rsidRPr="00B704FE">
        <w:t>Acétonitrile (100</w:t>
      </w:r>
      <w:r w:rsidR="007277CF">
        <w:t> </w:t>
      </w:r>
      <w:r w:rsidRPr="00B704FE">
        <w:t>% v/v)</w:t>
      </w:r>
    </w:p>
    <w:p w14:paraId="06455E19" w14:textId="54EF187B" w:rsidR="00364034" w:rsidRPr="002B6EDB" w:rsidRDefault="00364034" w:rsidP="007277CF">
      <w:pPr>
        <w:pStyle w:val="Puce1"/>
        <w:spacing w:after="240"/>
        <w:rPr>
          <w:b/>
        </w:rPr>
      </w:pPr>
      <w:r w:rsidRPr="002B6EDB">
        <w:t>Matrice VITEK</w:t>
      </w:r>
      <w:r w:rsidRPr="002B6EDB">
        <w:sym w:font="Symbol" w:char="F0D2"/>
      </w:r>
      <w:r w:rsidRPr="002B6EDB">
        <w:t xml:space="preserve"> MS-CHCA</w:t>
      </w:r>
      <w:r w:rsidRPr="00B704FE">
        <w:t xml:space="preserve"> </w:t>
      </w:r>
      <w:r w:rsidRPr="00320AE7">
        <w:rPr>
          <w:sz w:val="16"/>
        </w:rPr>
        <w:t>(r</w:t>
      </w:r>
      <w:r w:rsidR="00320AE7" w:rsidRPr="00320AE7">
        <w:rPr>
          <w:sz w:val="16"/>
        </w:rPr>
        <w:t>e</w:t>
      </w:r>
      <w:r w:rsidR="0089325B" w:rsidRPr="00320AE7">
        <w:rPr>
          <w:sz w:val="16"/>
        </w:rPr>
        <w:t>f</w:t>
      </w:r>
      <w:r w:rsidR="00320AE7" w:rsidRPr="00320AE7">
        <w:rPr>
          <w:sz w:val="16"/>
        </w:rPr>
        <w:t>.</w:t>
      </w:r>
      <w:r w:rsidR="0089325B" w:rsidRPr="00320AE7">
        <w:rPr>
          <w:sz w:val="16"/>
        </w:rPr>
        <w:t> :</w:t>
      </w:r>
      <w:r w:rsidRPr="00320AE7">
        <w:rPr>
          <w:sz w:val="16"/>
        </w:rPr>
        <w:t xml:space="preserve"> 411071- bioMérieux)</w:t>
      </w:r>
    </w:p>
    <w:p w14:paraId="2E379D21" w14:textId="77777777" w:rsidR="00364034" w:rsidRPr="00364034" w:rsidRDefault="00364034" w:rsidP="007277CF">
      <w:pPr>
        <w:pStyle w:val="Titre2"/>
      </w:pPr>
      <w:r w:rsidRPr="00364034">
        <w:t>Matériel et procéd</w:t>
      </w:r>
      <w:r w:rsidR="007277CF">
        <w:t>ures de contrôle de la qualité</w:t>
      </w:r>
    </w:p>
    <w:p w14:paraId="2693CFBC" w14:textId="77777777" w:rsidR="00364034" w:rsidRPr="00364034" w:rsidRDefault="00364034" w:rsidP="007277CF">
      <w:pPr>
        <w:pStyle w:val="Corpsdetexte"/>
      </w:pPr>
      <w:r w:rsidRPr="00364034">
        <w:t>Souche d'étalonnage</w:t>
      </w:r>
      <w:r w:rsidR="00467787">
        <w:t> </w:t>
      </w:r>
      <w:r w:rsidRPr="00364034">
        <w:t xml:space="preserve">: </w:t>
      </w:r>
      <w:r w:rsidRPr="00364034">
        <w:rPr>
          <w:i/>
        </w:rPr>
        <w:t>Escherichia coli</w:t>
      </w:r>
      <w:r w:rsidRPr="00364034">
        <w:t xml:space="preserve"> ATCC® 8739 (incubée 18-24 heures à 35</w:t>
      </w:r>
      <w:r w:rsidR="0089325B">
        <w:t> </w:t>
      </w:r>
      <w:r w:rsidRPr="00364034">
        <w:t>°C +/- 2</w:t>
      </w:r>
      <w:r w:rsidR="0089325B">
        <w:t> </w:t>
      </w:r>
      <w:r w:rsidRPr="00364034">
        <w:t>°C sur gélose au sang ou équivalent).</w:t>
      </w:r>
    </w:p>
    <w:p w14:paraId="0F95237C" w14:textId="77777777" w:rsidR="00364034" w:rsidRPr="00364034" w:rsidRDefault="00364034" w:rsidP="007277CF">
      <w:pPr>
        <w:pStyle w:val="Corpsdetexte"/>
        <w:spacing w:after="120"/>
      </w:pPr>
      <w:r w:rsidRPr="00364034">
        <w:t>Souches contrôles positifs (Incubation 2 à 8</w:t>
      </w:r>
      <w:r w:rsidR="0089325B">
        <w:t> </w:t>
      </w:r>
      <w:r w:rsidRPr="00364034">
        <w:t>jour</w:t>
      </w:r>
      <w:r w:rsidR="007277CF">
        <w:t>s sur gélose PDA 30</w:t>
      </w:r>
      <w:r w:rsidR="0089325B">
        <w:t> </w:t>
      </w:r>
      <w:r w:rsidR="007277CF">
        <w:t>°C +/- 2</w:t>
      </w:r>
      <w:r w:rsidR="0089325B">
        <w:t> </w:t>
      </w:r>
      <w:r w:rsidR="007277CF">
        <w:t>°C) :</w:t>
      </w:r>
    </w:p>
    <w:p w14:paraId="677F0AC3" w14:textId="77777777" w:rsidR="00364034" w:rsidRPr="00364034" w:rsidRDefault="00364034" w:rsidP="007277CF">
      <w:pPr>
        <w:pStyle w:val="Puce1"/>
        <w:rPr>
          <w:lang w:eastAsia="fr-CA"/>
        </w:rPr>
      </w:pPr>
      <w:r w:rsidRPr="00364034">
        <w:rPr>
          <w:i/>
          <w:lang w:eastAsia="fr-CA"/>
        </w:rPr>
        <w:t>Aspergillus flavus</w:t>
      </w:r>
      <w:r w:rsidR="007277CF">
        <w:rPr>
          <w:lang w:eastAsia="fr-CA"/>
        </w:rPr>
        <w:t xml:space="preserve"> ATCC® 204304 (LSPQ-0589)</w:t>
      </w:r>
    </w:p>
    <w:p w14:paraId="0FCCB5F5" w14:textId="77777777" w:rsidR="00364034" w:rsidRPr="00364034" w:rsidRDefault="00364034" w:rsidP="007277CF">
      <w:pPr>
        <w:pStyle w:val="Puce1"/>
        <w:spacing w:after="240"/>
        <w:rPr>
          <w:lang w:eastAsia="fr-CA"/>
        </w:rPr>
      </w:pPr>
      <w:r w:rsidRPr="00364034">
        <w:rPr>
          <w:i/>
          <w:lang w:eastAsia="fr-CA"/>
        </w:rPr>
        <w:t>Aspergillus brasiliensis</w:t>
      </w:r>
      <w:r w:rsidRPr="00364034">
        <w:rPr>
          <w:lang w:eastAsia="fr-CA"/>
        </w:rPr>
        <w:t xml:space="preserve"> ATCC® 16404 (optionnel)</w:t>
      </w:r>
    </w:p>
    <w:p w14:paraId="3B6D26AF" w14:textId="77777777" w:rsidR="00364034" w:rsidRDefault="00467787" w:rsidP="007277CF">
      <w:pPr>
        <w:pStyle w:val="Corpsdetexte"/>
      </w:pPr>
      <w:r>
        <w:t>Contrôle négatif </w:t>
      </w:r>
      <w:r w:rsidR="00364034" w:rsidRPr="00364034">
        <w:t>: Laisser sécher 0,5</w:t>
      </w:r>
      <w:r w:rsidR="0089325B">
        <w:t> </w:t>
      </w:r>
      <w:r w:rsidR="00364034" w:rsidRPr="00364034">
        <w:t>µl d’acide formique (solution 2) + 0,5</w:t>
      </w:r>
      <w:r w:rsidR="0089325B">
        <w:t> </w:t>
      </w:r>
      <w:r w:rsidR="00364034" w:rsidRPr="00364034">
        <w:t>µl d’acétonitrile (solution R3) sur la cible. Ajouter 1</w:t>
      </w:r>
      <w:r w:rsidR="007277CF">
        <w:t> </w:t>
      </w:r>
      <w:r w:rsidR="00364034" w:rsidRPr="00364034">
        <w:t>µl de Matrice VITEK</w:t>
      </w:r>
      <w:r w:rsidR="00364034" w:rsidRPr="00364034">
        <w:sym w:font="Symbol" w:char="F0D2"/>
      </w:r>
      <w:r w:rsidR="00364034" w:rsidRPr="00364034">
        <w:t xml:space="preserve"> MS-CHCA.</w:t>
      </w:r>
    </w:p>
    <w:p w14:paraId="6571E7A1" w14:textId="77777777" w:rsidR="007277CF" w:rsidRDefault="007277CF">
      <w:pPr>
        <w:spacing w:after="160" w:line="259" w:lineRule="auto"/>
        <w:rPr>
          <w:rFonts w:ascii="Arial" w:eastAsia="Times New Roman" w:hAnsi="Arial" w:cs="Times New Roman"/>
          <w:sz w:val="20"/>
          <w:szCs w:val="24"/>
          <w:lang w:eastAsia="fr-FR"/>
        </w:rPr>
      </w:pPr>
      <w:r>
        <w:br w:type="page"/>
      </w:r>
    </w:p>
    <w:p w14:paraId="5DD00672" w14:textId="77777777" w:rsidR="00364034" w:rsidRPr="00364034" w:rsidRDefault="00364034" w:rsidP="007277CF">
      <w:pPr>
        <w:pStyle w:val="Titre2"/>
      </w:pPr>
      <w:r w:rsidRPr="00364034">
        <w:lastRenderedPageBreak/>
        <w:t>Précautions spéciales</w:t>
      </w:r>
    </w:p>
    <w:p w14:paraId="10942007" w14:textId="77777777" w:rsidR="00364034" w:rsidRPr="00364034" w:rsidRDefault="00364034" w:rsidP="007277CF">
      <w:pPr>
        <w:pStyle w:val="Puce1"/>
        <w:rPr>
          <w:lang w:eastAsia="fr-CA"/>
        </w:rPr>
      </w:pPr>
      <w:r w:rsidRPr="00364034">
        <w:rPr>
          <w:lang w:eastAsia="fr-CA"/>
        </w:rPr>
        <w:t>Toujours utiliser des gants non poudrés lors de la manipulation des lames VITEK</w:t>
      </w:r>
      <w:r w:rsidRPr="00364034">
        <w:rPr>
          <w:lang w:eastAsia="fr-CA"/>
        </w:rPr>
        <w:sym w:font="Symbol" w:char="F0D2"/>
      </w:r>
      <w:r w:rsidR="007277CF">
        <w:rPr>
          <w:lang w:eastAsia="fr-CA"/>
        </w:rPr>
        <w:t xml:space="preserve"> MS-DS.</w:t>
      </w:r>
    </w:p>
    <w:p w14:paraId="1D9D7381" w14:textId="77777777" w:rsidR="00364034" w:rsidRDefault="00364034" w:rsidP="007277CF">
      <w:pPr>
        <w:pStyle w:val="Puce1"/>
        <w:spacing w:after="0"/>
        <w:rPr>
          <w:lang w:eastAsia="fr-CA"/>
        </w:rPr>
      </w:pPr>
      <w:r w:rsidRPr="00364034">
        <w:rPr>
          <w:lang w:eastAsia="fr-CA"/>
        </w:rPr>
        <w:t>S'assurer de ne pas prélever de gélose l</w:t>
      </w:r>
      <w:r w:rsidR="007277CF">
        <w:rPr>
          <w:lang w:eastAsia="fr-CA"/>
        </w:rPr>
        <w:t>ors du prélèvement de spécimen.</w:t>
      </w:r>
    </w:p>
    <w:p w14:paraId="3C64CFDD" w14:textId="77777777" w:rsidR="007277CF" w:rsidRDefault="007277CF" w:rsidP="007277CF">
      <w:pPr>
        <w:rPr>
          <w:lang w:eastAsia="fr-CA"/>
        </w:rPr>
      </w:pPr>
    </w:p>
    <w:tbl>
      <w:tblPr>
        <w:tblStyle w:val="Grilledutableau"/>
        <w:tblW w:w="0" w:type="auto"/>
        <w:shd w:val="clear" w:color="auto" w:fill="D9D9D9" w:themeFill="background1" w:themeFillShade="D9"/>
        <w:tblLook w:val="04A0" w:firstRow="1" w:lastRow="0" w:firstColumn="1" w:lastColumn="0" w:noHBand="0" w:noVBand="1"/>
      </w:tblPr>
      <w:tblGrid>
        <w:gridCol w:w="9350"/>
      </w:tblGrid>
      <w:tr w:rsidR="007277CF" w14:paraId="16E4786B" w14:textId="77777777" w:rsidTr="007277CF">
        <w:tc>
          <w:tcPr>
            <w:tcW w:w="9350" w:type="dxa"/>
            <w:shd w:val="clear" w:color="auto" w:fill="D9D9D9" w:themeFill="background1" w:themeFillShade="D9"/>
          </w:tcPr>
          <w:p w14:paraId="02872D60" w14:textId="77777777" w:rsidR="007277CF" w:rsidRDefault="007277CF" w:rsidP="00601FF8">
            <w:pPr>
              <w:pStyle w:val="Corpsdetexte"/>
              <w:spacing w:before="60" w:after="60"/>
            </w:pPr>
            <w:r w:rsidRPr="007277CF">
              <w:rPr>
                <w:b/>
              </w:rPr>
              <w:t>Note</w:t>
            </w:r>
            <w:r>
              <w:t> </w:t>
            </w:r>
            <w:r w:rsidRPr="007277CF">
              <w:t>: La solution d’acétonitrile (solution R3) est très volatile. Minimiser le temps d’ouverture et s’assurer de bien refermer les tubes pour éviter perte par évaporation.</w:t>
            </w:r>
          </w:p>
        </w:tc>
      </w:tr>
    </w:tbl>
    <w:p w14:paraId="55EC71B8" w14:textId="77777777" w:rsidR="007277CF" w:rsidRDefault="007277CF" w:rsidP="007277CF">
      <w:pPr>
        <w:rPr>
          <w:lang w:eastAsia="fr-CA"/>
        </w:rPr>
      </w:pPr>
    </w:p>
    <w:p w14:paraId="6AD3904F" w14:textId="77777777" w:rsidR="00364034" w:rsidRPr="00364034" w:rsidRDefault="00364034" w:rsidP="007277CF">
      <w:pPr>
        <w:pStyle w:val="Titre3"/>
      </w:pPr>
      <w:r w:rsidRPr="00364034">
        <w:t>Risques biologiques</w:t>
      </w:r>
    </w:p>
    <w:p w14:paraId="51541930" w14:textId="034996EB" w:rsidR="00364034" w:rsidRPr="00364034" w:rsidRDefault="00364034" w:rsidP="007277CF">
      <w:pPr>
        <w:pStyle w:val="Corpsdetexte"/>
      </w:pPr>
      <w:r w:rsidRPr="00364034">
        <w:t>Les champignons filamenteux en culture peuvent générer d’importante quantité d’aérosols. Leur m</w:t>
      </w:r>
      <w:r w:rsidR="000A56D8">
        <w:t xml:space="preserve">anipulation doit se faire </w:t>
      </w:r>
      <w:r w:rsidRPr="00364034">
        <w:t>en tout temps sous</w:t>
      </w:r>
      <w:r w:rsidR="000A56D8">
        <w:t xml:space="preserve"> une</w:t>
      </w:r>
      <w:r w:rsidRPr="00364034">
        <w:t xml:space="preserve"> enceinte de sécurité biologique (ESB) avec </w:t>
      </w:r>
      <w:r w:rsidR="000A56D8">
        <w:t>l’</w:t>
      </w:r>
      <w:r w:rsidRPr="00364034">
        <w:t>équipement de protection approprié (gants, blouse) pour réduire le r</w:t>
      </w:r>
      <w:r w:rsidR="007277CF">
        <w:t>isque d’infection respiratoire.</w:t>
      </w:r>
    </w:p>
    <w:p w14:paraId="22573542" w14:textId="77777777" w:rsidR="00364034" w:rsidRPr="00364034" w:rsidRDefault="00364034" w:rsidP="007277CF">
      <w:pPr>
        <w:pStyle w:val="Corpsdetexte"/>
      </w:pPr>
      <w:r w:rsidRPr="00364034">
        <w:t>Les champig</w:t>
      </w:r>
      <w:r w:rsidR="0089325B">
        <w:t>nons de groupe de risque 3 (GR3 </w:t>
      </w:r>
      <w:r w:rsidRPr="00364034">
        <w:t xml:space="preserve">: </w:t>
      </w:r>
      <w:r w:rsidRPr="00364034">
        <w:rPr>
          <w:i/>
        </w:rPr>
        <w:t>Blastomyces, Coccidioides, Histoplasma, Paracoccidioides et Cladophialophora bantiana</w:t>
      </w:r>
      <w:r w:rsidRPr="00364034">
        <w:t>) présentent un risque d’infection respiratoire élevé et ne doivent être manipulés que dans un laboratoire de niveau de confinement détenant un permis de GR3 de l’ASPC. En cas de doute faire suivre cultures au LSPQ.</w:t>
      </w:r>
    </w:p>
    <w:p w14:paraId="06A2F142" w14:textId="77777777" w:rsidR="00364034" w:rsidRPr="00364034" w:rsidRDefault="00364034" w:rsidP="007277CF">
      <w:pPr>
        <w:pStyle w:val="Titre3"/>
      </w:pPr>
      <w:r w:rsidRPr="00364034">
        <w:t>Risques chimiques</w:t>
      </w:r>
    </w:p>
    <w:p w14:paraId="340E2102" w14:textId="77777777" w:rsidR="00364034" w:rsidRDefault="00364034" w:rsidP="007277CF">
      <w:pPr>
        <w:pStyle w:val="Corpsdetexte"/>
      </w:pPr>
      <w:r w:rsidRPr="00364034">
        <w:t>Les réactifs suivants présentent un risque chimique : Éthanol 70</w:t>
      </w:r>
      <w:r w:rsidR="007277CF">
        <w:t> </w:t>
      </w:r>
      <w:r w:rsidRPr="00364034">
        <w:t>% (solution R1), Acide formique (solution</w:t>
      </w:r>
      <w:r w:rsidR="007277CF">
        <w:t> </w:t>
      </w:r>
      <w:r w:rsidRPr="00364034">
        <w:t>R2), Acétonitrile (solution R3), Matrice VITEK</w:t>
      </w:r>
      <w:r w:rsidRPr="00364034">
        <w:sym w:font="Symbol" w:char="F0D2"/>
      </w:r>
      <w:r w:rsidRPr="00364034">
        <w:t>MS-CHCA.</w:t>
      </w:r>
      <w:r w:rsidR="007277CF">
        <w:t xml:space="preserve"> </w:t>
      </w:r>
      <w:r w:rsidRPr="00364034">
        <w:t>Selon le cas, ils sont inflammables, corrosifs et/ou toxiques. Veuillez-vous référer à la fiche signalétique SIMDUT pour plus de détail.</w:t>
      </w:r>
    </w:p>
    <w:p w14:paraId="1D150DC4" w14:textId="77777777" w:rsidR="00364034" w:rsidRPr="00320AE7" w:rsidRDefault="00364034" w:rsidP="007277CF">
      <w:pPr>
        <w:pStyle w:val="Titre2"/>
      </w:pPr>
      <w:r w:rsidRPr="00320AE7">
        <w:rPr>
          <w:iCs/>
        </w:rPr>
        <w:t>Étapes</w:t>
      </w:r>
      <w:r w:rsidR="007277CF" w:rsidRPr="00320AE7">
        <w:t xml:space="preserve"> / procédure analytique</w:t>
      </w:r>
    </w:p>
    <w:p w14:paraId="4BBDC8FB" w14:textId="5FA6785B" w:rsidR="00364034" w:rsidRPr="00320AE7" w:rsidRDefault="00364034" w:rsidP="007277CF">
      <w:pPr>
        <w:pStyle w:val="Titre3"/>
      </w:pPr>
      <w:r w:rsidRPr="00320AE7">
        <w:t>Préparation des réactifs maison (optionnel)</w:t>
      </w:r>
      <w:r w:rsidR="007277CF" w:rsidRPr="00320AE7">
        <w:t> </w:t>
      </w:r>
      <w:r w:rsidRPr="00320AE7">
        <w:t xml:space="preserve">: </w:t>
      </w:r>
      <w:r w:rsidR="00320AE7" w:rsidRPr="00320AE7">
        <w:t>(</w:t>
      </w:r>
      <w:r w:rsidRPr="00320AE7">
        <w:t>annexe 1)</w:t>
      </w:r>
    </w:p>
    <w:p w14:paraId="4AD4288A" w14:textId="77777777" w:rsidR="00364034" w:rsidRPr="00364034" w:rsidRDefault="00364034" w:rsidP="007277CF">
      <w:pPr>
        <w:pStyle w:val="Titre3"/>
      </w:pPr>
      <w:r w:rsidRPr="00364034">
        <w:t>Extraction en tube pour champignons filamenteux (moisissures)</w:t>
      </w:r>
    </w:p>
    <w:tbl>
      <w:tblPr>
        <w:tblStyle w:val="Grilledutableau"/>
        <w:tblW w:w="0" w:type="auto"/>
        <w:tblLook w:val="04A0" w:firstRow="1" w:lastRow="0" w:firstColumn="1" w:lastColumn="0" w:noHBand="0" w:noVBand="1"/>
      </w:tblPr>
      <w:tblGrid>
        <w:gridCol w:w="9350"/>
      </w:tblGrid>
      <w:tr w:rsidR="007277CF" w14:paraId="015C5079" w14:textId="77777777" w:rsidTr="00601FF8">
        <w:tc>
          <w:tcPr>
            <w:tcW w:w="9350" w:type="dxa"/>
            <w:shd w:val="clear" w:color="auto" w:fill="D9D9D9" w:themeFill="background1" w:themeFillShade="D9"/>
          </w:tcPr>
          <w:p w14:paraId="48240A6D" w14:textId="77777777" w:rsidR="007277CF" w:rsidRDefault="007277CF" w:rsidP="007277CF">
            <w:pPr>
              <w:pStyle w:val="Corpsdetexte"/>
              <w:spacing w:before="60" w:after="60"/>
            </w:pPr>
            <w:r w:rsidRPr="007277CF">
              <w:rPr>
                <w:b/>
              </w:rPr>
              <w:t>Attention</w:t>
            </w:r>
            <w:r>
              <w:t> : Les champignons filamenteux doivent toujours être travaillés à l’intérieur d'une enceinte biologique classe II (ESB) avec équipements de protections personnelles adéquats.</w:t>
            </w:r>
          </w:p>
          <w:p w14:paraId="29B0DEB3" w14:textId="77777777" w:rsidR="007277CF" w:rsidRDefault="007277CF" w:rsidP="007277CF">
            <w:pPr>
              <w:pStyle w:val="Corpsdetexte"/>
              <w:spacing w:before="60" w:after="60"/>
            </w:pPr>
            <w:r>
              <w:t>La manipulation des champignons de GR3 n’est autorisée que dans un laboratoire de NC3 détenant un permis de l’ASPC. Utilisez toujours des désinfectants de haut-niveau (eau de javel ou peroxyde d’hydrogène accéléré) pour les champignons de GR3.</w:t>
            </w:r>
          </w:p>
        </w:tc>
      </w:tr>
    </w:tbl>
    <w:p w14:paraId="4D87E475" w14:textId="77777777" w:rsidR="00601FF8" w:rsidRDefault="00601FF8" w:rsidP="00601FF8"/>
    <w:p w14:paraId="715446AD" w14:textId="77777777" w:rsidR="00364034" w:rsidRDefault="00364034" w:rsidP="00601FF8">
      <w:pPr>
        <w:pStyle w:val="Corpsdetexte"/>
        <w:numPr>
          <w:ilvl w:val="0"/>
          <w:numId w:val="28"/>
        </w:numPr>
        <w:tabs>
          <w:tab w:val="left" w:pos="284"/>
        </w:tabs>
        <w:ind w:left="284" w:hanging="284"/>
      </w:pPr>
      <w:r w:rsidRPr="00364034">
        <w:t>À l'intérieur d’une l'ESB, préparer et identifier une série de microtubes de 1,5 ou 2</w:t>
      </w:r>
      <w:r w:rsidR="00B57966">
        <w:t> </w:t>
      </w:r>
      <w:r w:rsidRPr="00364034">
        <w:t>mL. Ajouter à chacun 900</w:t>
      </w:r>
      <w:r w:rsidR="00B57966">
        <w:t> </w:t>
      </w:r>
      <w:r w:rsidRPr="00364034">
        <w:t>μl d’éthanol 70</w:t>
      </w:r>
      <w:r w:rsidR="00B57966">
        <w:t> </w:t>
      </w:r>
      <w:r w:rsidRPr="00364034">
        <w:t>% (solution R1). Refermer les tubes pour éviter l’évaporation.</w:t>
      </w:r>
    </w:p>
    <w:p w14:paraId="49284EE9" w14:textId="77777777" w:rsidR="00601FF8" w:rsidRPr="00364034" w:rsidRDefault="00601FF8" w:rsidP="00601FF8">
      <w:pPr>
        <w:pStyle w:val="Corpsdetexte"/>
        <w:numPr>
          <w:ilvl w:val="0"/>
          <w:numId w:val="28"/>
        </w:numPr>
        <w:tabs>
          <w:tab w:val="left" w:pos="284"/>
        </w:tabs>
        <w:ind w:left="284" w:hanging="284"/>
      </w:pPr>
      <w:r w:rsidRPr="00601FF8">
        <w:t>Pour chacun des spécimens (sous ESB)</w:t>
      </w:r>
      <w:r>
        <w:t> :</w:t>
      </w:r>
    </w:p>
    <w:p w14:paraId="2A68286C" w14:textId="77777777" w:rsidR="00364034" w:rsidRPr="00364034" w:rsidRDefault="00364034" w:rsidP="00601FF8">
      <w:pPr>
        <w:pStyle w:val="Puce2"/>
        <w:rPr>
          <w:lang w:eastAsia="fr-CA"/>
        </w:rPr>
      </w:pPr>
      <w:r w:rsidRPr="00364034">
        <w:rPr>
          <w:lang w:eastAsia="fr-CA"/>
        </w:rPr>
        <w:t>Humidifier un écouvillon stérile dans de l'e</w:t>
      </w:r>
      <w:r w:rsidR="00601FF8">
        <w:rPr>
          <w:lang w:eastAsia="fr-CA"/>
        </w:rPr>
        <w:t>au déionisé stérile (Ultrapure).</w:t>
      </w:r>
    </w:p>
    <w:p w14:paraId="78E380A9" w14:textId="77777777" w:rsidR="00364034" w:rsidRPr="00364034" w:rsidRDefault="00364034" w:rsidP="00601FF8">
      <w:pPr>
        <w:pStyle w:val="Puce2"/>
        <w:rPr>
          <w:lang w:eastAsia="fr-CA"/>
        </w:rPr>
      </w:pPr>
      <w:r w:rsidRPr="00364034">
        <w:rPr>
          <w:lang w:eastAsia="fr-CA"/>
        </w:rPr>
        <w:t>Presser l’écouvillon sur la paroi du tube pour essorer et bien retirer l'excédent de liquide</w:t>
      </w:r>
      <w:r w:rsidR="00601FF8">
        <w:rPr>
          <w:lang w:eastAsia="fr-CA"/>
        </w:rPr>
        <w:t>.</w:t>
      </w:r>
    </w:p>
    <w:p w14:paraId="4ACBD3E5" w14:textId="77777777" w:rsidR="00364034" w:rsidRPr="00364034" w:rsidRDefault="00364034" w:rsidP="00601FF8">
      <w:pPr>
        <w:pStyle w:val="Puce2"/>
        <w:rPr>
          <w:lang w:eastAsia="fr-CA"/>
        </w:rPr>
      </w:pPr>
      <w:r w:rsidRPr="00364034">
        <w:rPr>
          <w:lang w:eastAsia="fr-CA"/>
        </w:rPr>
        <w:t>Avec l’écouvillon humidifié, préle</w:t>
      </w:r>
      <w:r w:rsidR="00B57966">
        <w:rPr>
          <w:lang w:eastAsia="fr-CA"/>
        </w:rPr>
        <w:t>ver une section d’environ 1 à 2 </w:t>
      </w:r>
      <w:r w:rsidRPr="00364034">
        <w:rPr>
          <w:lang w:eastAsia="fr-CA"/>
        </w:rPr>
        <w:t>cm² de la culture en privilégiant le pourtour de la colonie pour récupérer des spores et des hyphes. Porter attention pour ne pas prélever de gélose.</w:t>
      </w:r>
    </w:p>
    <w:p w14:paraId="088CE5D1" w14:textId="77777777" w:rsidR="00364034" w:rsidRPr="00364034" w:rsidRDefault="00364034" w:rsidP="00601FF8">
      <w:pPr>
        <w:rPr>
          <w:lang w:eastAsia="fr-CA"/>
        </w:rPr>
      </w:pPr>
    </w:p>
    <w:p w14:paraId="20592C70" w14:textId="3E878768" w:rsidR="00364034" w:rsidRPr="00364034" w:rsidRDefault="00364034" w:rsidP="00601FF8">
      <w:pPr>
        <w:pStyle w:val="Corpsdetexte"/>
        <w:numPr>
          <w:ilvl w:val="0"/>
          <w:numId w:val="28"/>
        </w:numPr>
        <w:tabs>
          <w:tab w:val="left" w:pos="284"/>
        </w:tabs>
        <w:ind w:left="284" w:hanging="284"/>
      </w:pPr>
      <w:r w:rsidRPr="00364034">
        <w:lastRenderedPageBreak/>
        <w:t>Remettre en suspension le matériel fongique prélevé dans un des microtubes identifiés, préparé à l’étape</w:t>
      </w:r>
      <w:r w:rsidR="00B57966">
        <w:t> </w:t>
      </w:r>
      <w:r w:rsidRPr="00364034">
        <w:t>1 contenant 900</w:t>
      </w:r>
      <w:r w:rsidR="00B57966">
        <w:t> </w:t>
      </w:r>
      <w:r w:rsidRPr="00364034">
        <w:t>μl d’éthanol 70</w:t>
      </w:r>
      <w:r w:rsidR="00320AE7">
        <w:t> </w:t>
      </w:r>
      <w:r w:rsidRPr="00364034">
        <w:t>% (solution R1). Jeter l'écouvillon.</w:t>
      </w:r>
    </w:p>
    <w:p w14:paraId="180A904B" w14:textId="77777777" w:rsidR="00364034" w:rsidRDefault="00364034" w:rsidP="00601FF8">
      <w:pPr>
        <w:pStyle w:val="Corpsdetexte"/>
        <w:numPr>
          <w:ilvl w:val="0"/>
          <w:numId w:val="28"/>
        </w:numPr>
        <w:tabs>
          <w:tab w:val="left" w:pos="284"/>
        </w:tabs>
        <w:ind w:left="284" w:hanging="284"/>
      </w:pPr>
      <w:r w:rsidRPr="00364034">
        <w:t>Bien mélanger au vortex (5</w:t>
      </w:r>
      <w:r w:rsidR="00B57966">
        <w:t> </w:t>
      </w:r>
      <w:r w:rsidRPr="00364034">
        <w:t>secondes).</w:t>
      </w:r>
    </w:p>
    <w:tbl>
      <w:tblPr>
        <w:tblStyle w:val="Grilledutableau"/>
        <w:tblW w:w="0" w:type="auto"/>
        <w:tblLook w:val="04A0" w:firstRow="1" w:lastRow="0" w:firstColumn="1" w:lastColumn="0" w:noHBand="0" w:noVBand="1"/>
      </w:tblPr>
      <w:tblGrid>
        <w:gridCol w:w="9350"/>
      </w:tblGrid>
      <w:tr w:rsidR="006F694D" w14:paraId="24DD45B7" w14:textId="77777777" w:rsidTr="006F694D">
        <w:tc>
          <w:tcPr>
            <w:tcW w:w="9350" w:type="dxa"/>
            <w:shd w:val="clear" w:color="auto" w:fill="D9D9D9" w:themeFill="background1" w:themeFillShade="D9"/>
          </w:tcPr>
          <w:p w14:paraId="684E4B49" w14:textId="68BC96B0" w:rsidR="006F694D" w:rsidRDefault="006F694D" w:rsidP="006F694D">
            <w:pPr>
              <w:pStyle w:val="Corpsdetexte"/>
              <w:spacing w:before="60" w:after="60"/>
            </w:pPr>
            <w:r w:rsidRPr="006F694D">
              <w:rPr>
                <w:b/>
              </w:rPr>
              <w:t>Note</w:t>
            </w:r>
            <w:r>
              <w:t> : L’extrait peut être con</w:t>
            </w:r>
            <w:r w:rsidR="000A56D8">
              <w:t>servé jusqu’à 8 heures dans l</w:t>
            </w:r>
            <w:r>
              <w:t>’éthanol 70% (solution R1) sans perte de performance.</w:t>
            </w:r>
          </w:p>
          <w:p w14:paraId="1EAB18A5" w14:textId="77777777" w:rsidR="006F694D" w:rsidRDefault="006F694D" w:rsidP="006F694D">
            <w:pPr>
              <w:pStyle w:val="Corpsdetexte"/>
              <w:spacing w:before="60" w:after="60"/>
            </w:pPr>
            <w:r>
              <w:t>La majorité des champignons sont inactivés après cette étape si maintenus dans la solution R1 plus de 10 min.</w:t>
            </w:r>
          </w:p>
        </w:tc>
      </w:tr>
    </w:tbl>
    <w:p w14:paraId="57C833CD" w14:textId="77777777" w:rsidR="006F694D" w:rsidRDefault="006F694D" w:rsidP="006F694D"/>
    <w:p w14:paraId="367833C3" w14:textId="77777777" w:rsidR="00FE5BD0" w:rsidRDefault="006F694D" w:rsidP="006F694D">
      <w:pPr>
        <w:pStyle w:val="Corpsdetexte"/>
        <w:numPr>
          <w:ilvl w:val="0"/>
          <w:numId w:val="28"/>
        </w:numPr>
        <w:tabs>
          <w:tab w:val="left" w:pos="284"/>
        </w:tabs>
        <w:ind w:left="284" w:hanging="284"/>
      </w:pPr>
      <w:r>
        <w:t>Centrifuger 2</w:t>
      </w:r>
      <w:r w:rsidR="00B57966">
        <w:t> </w:t>
      </w:r>
      <w:r>
        <w:t>minutes à 10000</w:t>
      </w:r>
      <w:r w:rsidR="00B57966">
        <w:t> </w:t>
      </w:r>
      <w:r>
        <w:t>RPM (vitesse de 10</w:t>
      </w:r>
      <w:r w:rsidR="00B57966">
        <w:t> </w:t>
      </w:r>
      <w:r>
        <w:t>000 à 14</w:t>
      </w:r>
      <w:r w:rsidR="00B57966">
        <w:t> </w:t>
      </w:r>
      <w:r>
        <w:t>000 x g).</w:t>
      </w:r>
    </w:p>
    <w:p w14:paraId="3C669615" w14:textId="77777777" w:rsidR="006F694D" w:rsidRDefault="006F694D" w:rsidP="006F694D">
      <w:pPr>
        <w:pStyle w:val="Corpsdetexte"/>
        <w:numPr>
          <w:ilvl w:val="0"/>
          <w:numId w:val="28"/>
        </w:numPr>
        <w:tabs>
          <w:tab w:val="left" w:pos="284"/>
        </w:tabs>
        <w:ind w:left="284" w:hanging="284"/>
      </w:pPr>
      <w:r>
        <w:t>Éliminer le surnageant à l'aide d'une pipette (une pipette de transfert à bout effilé peut aussi être utilisée) en prenant soin de ne pas déplacer le culot.</w:t>
      </w:r>
    </w:p>
    <w:tbl>
      <w:tblPr>
        <w:tblStyle w:val="Grilledutableau"/>
        <w:tblW w:w="0" w:type="auto"/>
        <w:tblLook w:val="04A0" w:firstRow="1" w:lastRow="0" w:firstColumn="1" w:lastColumn="0" w:noHBand="0" w:noVBand="1"/>
      </w:tblPr>
      <w:tblGrid>
        <w:gridCol w:w="9350"/>
      </w:tblGrid>
      <w:tr w:rsidR="006F694D" w14:paraId="6376D1BD" w14:textId="77777777" w:rsidTr="006F694D">
        <w:tc>
          <w:tcPr>
            <w:tcW w:w="9350" w:type="dxa"/>
            <w:shd w:val="clear" w:color="auto" w:fill="D9D9D9" w:themeFill="background1" w:themeFillShade="D9"/>
          </w:tcPr>
          <w:p w14:paraId="46988017" w14:textId="77777777" w:rsidR="006F694D" w:rsidRDefault="006F694D" w:rsidP="006F694D">
            <w:pPr>
              <w:pStyle w:val="Corpsdetexte"/>
              <w:spacing w:before="60" w:after="60"/>
            </w:pPr>
            <w:r w:rsidRPr="006F694D">
              <w:rPr>
                <w:b/>
              </w:rPr>
              <w:t>Note</w:t>
            </w:r>
            <w:r>
              <w:t> </w:t>
            </w:r>
            <w:r w:rsidRPr="006F694D">
              <w:t>: Après cette étape d’inactivation dans l’EtOH, les champignons de GR2 peuvent être travaillés hors d’une ESB sur un banc de travail. Par mesure de précaution, on procèdera sous ESB s’il y a suspicion qu’il puisse s’agir d’un champignon de GR3.</w:t>
            </w:r>
          </w:p>
        </w:tc>
      </w:tr>
    </w:tbl>
    <w:p w14:paraId="60592244" w14:textId="77777777" w:rsidR="006F694D" w:rsidRDefault="006F694D" w:rsidP="006F694D"/>
    <w:p w14:paraId="5684660A" w14:textId="77777777" w:rsidR="006F694D" w:rsidRDefault="00B57966" w:rsidP="006F694D">
      <w:pPr>
        <w:pStyle w:val="Corpsdetexte"/>
        <w:numPr>
          <w:ilvl w:val="0"/>
          <w:numId w:val="28"/>
        </w:numPr>
        <w:tabs>
          <w:tab w:val="left" w:pos="284"/>
        </w:tabs>
        <w:ind w:left="284" w:hanging="284"/>
      </w:pPr>
      <w:r>
        <w:t>Ajouter 40 </w:t>
      </w:r>
      <w:r w:rsidR="006F694D" w:rsidRPr="006F694D">
        <w:rPr>
          <w:rFonts w:hint="eastAsia"/>
        </w:rPr>
        <w:t>μ</w:t>
      </w:r>
      <w:r w:rsidR="006F694D" w:rsidRPr="006F694D">
        <w:t>L d’acide formique 70</w:t>
      </w:r>
      <w:r>
        <w:t> </w:t>
      </w:r>
      <w:r w:rsidR="006F694D" w:rsidRPr="006F694D">
        <w:t xml:space="preserve">% (solution R2) et </w:t>
      </w:r>
      <w:r w:rsidR="006F694D" w:rsidRPr="006F694D">
        <w:rPr>
          <w:b/>
        </w:rPr>
        <w:t>mélanger au vortex</w:t>
      </w:r>
      <w:r w:rsidR="006F694D" w:rsidRPr="006F694D">
        <w:t>.</w:t>
      </w:r>
    </w:p>
    <w:tbl>
      <w:tblPr>
        <w:tblStyle w:val="Grilledutableau"/>
        <w:tblW w:w="0" w:type="auto"/>
        <w:tblLook w:val="04A0" w:firstRow="1" w:lastRow="0" w:firstColumn="1" w:lastColumn="0" w:noHBand="0" w:noVBand="1"/>
      </w:tblPr>
      <w:tblGrid>
        <w:gridCol w:w="9350"/>
      </w:tblGrid>
      <w:tr w:rsidR="006F694D" w14:paraId="5A3762D3" w14:textId="77777777" w:rsidTr="006F694D">
        <w:tc>
          <w:tcPr>
            <w:tcW w:w="9350" w:type="dxa"/>
            <w:shd w:val="clear" w:color="auto" w:fill="D9D9D9" w:themeFill="background1" w:themeFillShade="D9"/>
          </w:tcPr>
          <w:p w14:paraId="304B7795" w14:textId="77777777" w:rsidR="006F694D" w:rsidRDefault="006F694D" w:rsidP="006F694D">
            <w:pPr>
              <w:pStyle w:val="Corpsdetexte"/>
              <w:spacing w:before="60" w:after="60"/>
            </w:pPr>
            <w:r w:rsidRPr="006F694D">
              <w:rPr>
                <w:b/>
              </w:rPr>
              <w:t>Note</w:t>
            </w:r>
            <w:r>
              <w:t> : Bien vortexer pour s’assurer que la suspension est homogène. Ne pas ajouter l’acétonitrile à cette étape, ce qui empêcherait la solubilisation complète de l’extrait.</w:t>
            </w:r>
          </w:p>
        </w:tc>
      </w:tr>
    </w:tbl>
    <w:p w14:paraId="19D70E5F" w14:textId="77777777" w:rsidR="006F694D" w:rsidRDefault="006F694D" w:rsidP="006F694D"/>
    <w:p w14:paraId="6A4F248E" w14:textId="77777777" w:rsidR="006F694D" w:rsidRDefault="00FE5BD0" w:rsidP="00FE5BD0">
      <w:pPr>
        <w:pStyle w:val="Corpsdetexte"/>
        <w:numPr>
          <w:ilvl w:val="0"/>
          <w:numId w:val="28"/>
        </w:numPr>
        <w:tabs>
          <w:tab w:val="left" w:pos="284"/>
        </w:tabs>
        <w:ind w:left="284" w:hanging="284"/>
      </w:pPr>
      <w:r w:rsidRPr="00FE5BD0">
        <w:t>Ajouter 40</w:t>
      </w:r>
      <w:r w:rsidR="00B57966">
        <w:t> </w:t>
      </w:r>
      <w:r w:rsidRPr="00FE5BD0">
        <w:rPr>
          <w:rFonts w:hint="eastAsia"/>
        </w:rPr>
        <w:t>μ</w:t>
      </w:r>
      <w:r w:rsidRPr="00FE5BD0">
        <w:t xml:space="preserve">l d'acétonitrile (solution R3) et </w:t>
      </w:r>
      <w:r w:rsidRPr="00FE5BD0">
        <w:rPr>
          <w:b/>
        </w:rPr>
        <w:t>mélanger au vortex</w:t>
      </w:r>
      <w:r w:rsidRPr="00FE5BD0">
        <w:t>.</w:t>
      </w:r>
    </w:p>
    <w:tbl>
      <w:tblPr>
        <w:tblStyle w:val="Grilledutableau"/>
        <w:tblW w:w="0" w:type="auto"/>
        <w:tblLook w:val="04A0" w:firstRow="1" w:lastRow="0" w:firstColumn="1" w:lastColumn="0" w:noHBand="0" w:noVBand="1"/>
      </w:tblPr>
      <w:tblGrid>
        <w:gridCol w:w="9350"/>
      </w:tblGrid>
      <w:tr w:rsidR="00FE5BD0" w14:paraId="4E47CCE9" w14:textId="77777777" w:rsidTr="00FE5BD0">
        <w:tc>
          <w:tcPr>
            <w:tcW w:w="9350" w:type="dxa"/>
            <w:shd w:val="clear" w:color="auto" w:fill="D9D9D9" w:themeFill="background1" w:themeFillShade="D9"/>
          </w:tcPr>
          <w:p w14:paraId="793A57D0" w14:textId="77777777" w:rsidR="00FE5BD0" w:rsidRDefault="00FE5BD0" w:rsidP="00FE5BD0">
            <w:pPr>
              <w:pStyle w:val="Corpsdetexte"/>
              <w:spacing w:before="60" w:after="60"/>
            </w:pPr>
            <w:r w:rsidRPr="00FE5BD0">
              <w:rPr>
                <w:b/>
              </w:rPr>
              <w:t>Note</w:t>
            </w:r>
            <w:r>
              <w:t xml:space="preserve"> : </w:t>
            </w:r>
            <w:r w:rsidRPr="00FE5BD0">
              <w:t>L’acétonitrile étant très volatile, maintenir fermé le plus possible le tube contenant la solution pour éviter l’évaporation.</w:t>
            </w:r>
          </w:p>
        </w:tc>
      </w:tr>
    </w:tbl>
    <w:p w14:paraId="338CD459" w14:textId="77777777" w:rsidR="006F694D" w:rsidRDefault="006F694D" w:rsidP="006F694D"/>
    <w:p w14:paraId="3CBB1BAC" w14:textId="77777777" w:rsidR="00FE5BD0" w:rsidRDefault="00FA7A03" w:rsidP="00FA7A03">
      <w:pPr>
        <w:pStyle w:val="Corpsdetexte"/>
        <w:numPr>
          <w:ilvl w:val="0"/>
          <w:numId w:val="28"/>
        </w:numPr>
        <w:tabs>
          <w:tab w:val="left" w:pos="284"/>
        </w:tabs>
        <w:ind w:left="284" w:hanging="284"/>
      </w:pPr>
      <w:r w:rsidRPr="00FA7A03">
        <w:t>Centrifuger à nouveau pendant 2</w:t>
      </w:r>
      <w:r w:rsidR="00B57966">
        <w:t> </w:t>
      </w:r>
      <w:r w:rsidRPr="00FA7A03">
        <w:t>minutes à 10000 RPM (vitesse de</w:t>
      </w:r>
      <w:r w:rsidR="00B57966">
        <w:t xml:space="preserve"> </w:t>
      </w:r>
      <w:r w:rsidRPr="00FA7A03">
        <w:t>10</w:t>
      </w:r>
      <w:r w:rsidR="00B57966">
        <w:t> </w:t>
      </w:r>
      <w:r w:rsidRPr="00FA7A03">
        <w:t>000 à 14</w:t>
      </w:r>
      <w:r w:rsidR="00B57966">
        <w:t> </w:t>
      </w:r>
      <w:r w:rsidRPr="00FA7A03">
        <w:t>000 x g). Le manufacturier garantit que l’inactivation est totale après cette étape.</w:t>
      </w:r>
    </w:p>
    <w:tbl>
      <w:tblPr>
        <w:tblStyle w:val="Grilledutableau"/>
        <w:tblW w:w="0" w:type="auto"/>
        <w:tblLook w:val="04A0" w:firstRow="1" w:lastRow="0" w:firstColumn="1" w:lastColumn="0" w:noHBand="0" w:noVBand="1"/>
      </w:tblPr>
      <w:tblGrid>
        <w:gridCol w:w="9350"/>
      </w:tblGrid>
      <w:tr w:rsidR="00FA7A03" w14:paraId="20612E4F" w14:textId="77777777" w:rsidTr="00FA7A03">
        <w:tc>
          <w:tcPr>
            <w:tcW w:w="9350" w:type="dxa"/>
            <w:shd w:val="clear" w:color="auto" w:fill="D9D9D9" w:themeFill="background1" w:themeFillShade="D9"/>
          </w:tcPr>
          <w:p w14:paraId="712157F1" w14:textId="77777777" w:rsidR="00FA7A03" w:rsidRDefault="00FA7A03" w:rsidP="00FA7A03">
            <w:pPr>
              <w:pStyle w:val="Corpsdetexte"/>
              <w:spacing w:before="60" w:after="60"/>
            </w:pPr>
            <w:r w:rsidRPr="00FA7A03">
              <w:rPr>
                <w:b/>
              </w:rPr>
              <w:t>Note</w:t>
            </w:r>
            <w:r>
              <w:t> : Procéder rapidement à l’étape suivante pour éviter la remise en suspension du culot. Si cela se produit, recentrifuger avant de passer à l’étape</w:t>
            </w:r>
            <w:r w:rsidR="00B57966">
              <w:t> </w:t>
            </w:r>
            <w:r>
              <w:t>10.</w:t>
            </w:r>
          </w:p>
          <w:p w14:paraId="2737BD2D" w14:textId="77777777" w:rsidR="00FA7A03" w:rsidRDefault="00FA7A03" w:rsidP="00275D66">
            <w:pPr>
              <w:pStyle w:val="Corpsdetexte"/>
              <w:spacing w:before="60" w:after="60"/>
            </w:pPr>
            <w:r>
              <w:t>Des essais effectués au LSPQ ont démontré que l’extrait peut être conservé à cette étape jusqu’à 24</w:t>
            </w:r>
            <w:r w:rsidR="00275D66">
              <w:t> </w:t>
            </w:r>
            <w:r>
              <w:t>heures au frigo sans perte de performance. Si c’est le cas, on doit par contre recentrifuger avant de déposer sur la lame. L’acétonitrile étant très volatile, maintenir fermé le plus possible le tube contenant la solution pour éviter l’évaporation.</w:t>
            </w:r>
          </w:p>
        </w:tc>
      </w:tr>
    </w:tbl>
    <w:p w14:paraId="4B3A40B3" w14:textId="77777777" w:rsidR="00FE5BD0" w:rsidRDefault="00FE5BD0" w:rsidP="006F694D"/>
    <w:p w14:paraId="14D0EF1E" w14:textId="77777777" w:rsidR="00FA7A03" w:rsidRDefault="00364034" w:rsidP="00FA7A03">
      <w:pPr>
        <w:pStyle w:val="Corpsdetexte"/>
        <w:numPr>
          <w:ilvl w:val="0"/>
          <w:numId w:val="28"/>
        </w:numPr>
        <w:tabs>
          <w:tab w:val="left" w:pos="425"/>
        </w:tabs>
        <w:ind w:left="425" w:hanging="425"/>
      </w:pPr>
      <w:r w:rsidRPr="00364034">
        <w:t>Déposer sur la lame VITEK</w:t>
      </w:r>
      <w:r w:rsidRPr="00364034">
        <w:sym w:font="Symbol" w:char="F0D2"/>
      </w:r>
      <w:r w:rsidRPr="00364034">
        <w:t xml:space="preserve"> MS-DS </w:t>
      </w:r>
      <w:r w:rsidRPr="00FA7A03">
        <w:rPr>
          <w:b/>
          <w:u w:val="single"/>
        </w:rPr>
        <w:t>1</w:t>
      </w:r>
      <w:r w:rsidR="00B57966">
        <w:rPr>
          <w:b/>
          <w:u w:val="single"/>
        </w:rPr>
        <w:t> </w:t>
      </w:r>
      <w:r w:rsidRPr="00FA7A03">
        <w:rPr>
          <w:b/>
          <w:u w:val="single"/>
        </w:rPr>
        <w:t>μl de surnageant</w:t>
      </w:r>
      <w:r w:rsidRPr="00364034">
        <w:t>. Laisser sécher. Pour réduire les reprises, nous vous recommandons de faire les dépôts en duplicata (2</w:t>
      </w:r>
      <w:r w:rsidR="00B57966">
        <w:t> </w:t>
      </w:r>
      <w:r w:rsidRPr="00364034">
        <w:t>spots).</w:t>
      </w:r>
    </w:p>
    <w:p w14:paraId="2E720E71" w14:textId="77777777" w:rsidR="00FA7A03" w:rsidRDefault="00364034" w:rsidP="00FA7A03">
      <w:pPr>
        <w:pStyle w:val="Corpsdetexte"/>
        <w:numPr>
          <w:ilvl w:val="0"/>
          <w:numId w:val="28"/>
        </w:numPr>
        <w:tabs>
          <w:tab w:val="left" w:pos="425"/>
        </w:tabs>
        <w:ind w:left="425" w:hanging="425"/>
      </w:pPr>
      <w:r w:rsidRPr="00364034">
        <w:t xml:space="preserve">Ajouter </w:t>
      </w:r>
      <w:r w:rsidR="00B57966">
        <w:rPr>
          <w:b/>
        </w:rPr>
        <w:t>1 </w:t>
      </w:r>
      <w:r w:rsidRPr="00FA7A03">
        <w:rPr>
          <w:b/>
        </w:rPr>
        <w:t>μl de matrice</w:t>
      </w:r>
      <w:r w:rsidRPr="00364034">
        <w:t xml:space="preserve"> VITEK</w:t>
      </w:r>
      <w:r w:rsidRPr="00364034">
        <w:sym w:font="Symbol" w:char="F0D2"/>
      </w:r>
      <w:r w:rsidRPr="00364034">
        <w:t xml:space="preserve"> MS-CHCA sur chaque échantillon. Laisser sécher à nouveau.</w:t>
      </w:r>
    </w:p>
    <w:p w14:paraId="68A0D5E5" w14:textId="77777777" w:rsidR="00364034" w:rsidRDefault="00364034" w:rsidP="00FA7A03">
      <w:pPr>
        <w:pStyle w:val="Corpsdetexte"/>
        <w:numPr>
          <w:ilvl w:val="0"/>
          <w:numId w:val="28"/>
        </w:numPr>
        <w:tabs>
          <w:tab w:val="left" w:pos="425"/>
        </w:tabs>
        <w:ind w:left="425" w:hanging="425"/>
      </w:pPr>
      <w:r w:rsidRPr="00364034">
        <w:t>Procéder à l’analyse des cibles selon la procédure du manufacturier en sélectionnant qu’il s’agit d’un champignon «</w:t>
      </w:r>
      <w:r w:rsidR="00FA7A03">
        <w:t> </w:t>
      </w:r>
      <w:r w:rsidRPr="00364034">
        <w:t>Fungi</w:t>
      </w:r>
      <w:r w:rsidR="00FA7A03">
        <w:t> </w:t>
      </w:r>
      <w:r w:rsidRPr="00364034">
        <w:t>»</w:t>
      </w:r>
      <w:r w:rsidR="00FA7A03">
        <w:t>.</w:t>
      </w:r>
    </w:p>
    <w:tbl>
      <w:tblPr>
        <w:tblStyle w:val="Grilledutableau"/>
        <w:tblW w:w="0" w:type="auto"/>
        <w:tblLook w:val="04A0" w:firstRow="1" w:lastRow="0" w:firstColumn="1" w:lastColumn="0" w:noHBand="0" w:noVBand="1"/>
      </w:tblPr>
      <w:tblGrid>
        <w:gridCol w:w="9350"/>
      </w:tblGrid>
      <w:tr w:rsidR="00616EC7" w14:paraId="4FCC3F02" w14:textId="77777777" w:rsidTr="00616EC7">
        <w:tc>
          <w:tcPr>
            <w:tcW w:w="9350" w:type="dxa"/>
            <w:shd w:val="clear" w:color="auto" w:fill="D9D9D9" w:themeFill="background1" w:themeFillShade="D9"/>
          </w:tcPr>
          <w:p w14:paraId="7D3AB204" w14:textId="77777777" w:rsidR="00616EC7" w:rsidRDefault="00616EC7" w:rsidP="00B57966">
            <w:pPr>
              <w:pStyle w:val="Corpsdetexte"/>
              <w:spacing w:before="60" w:after="60"/>
            </w:pPr>
            <w:r w:rsidRPr="00616EC7">
              <w:rPr>
                <w:b/>
              </w:rPr>
              <w:lastRenderedPageBreak/>
              <w:t>Note</w:t>
            </w:r>
            <w:r>
              <w:t> :</w:t>
            </w:r>
            <w:r w:rsidRPr="00616EC7">
              <w:t xml:space="preserve"> Lorsque les lames VITEK</w:t>
            </w:r>
            <w:r w:rsidR="0089325B" w:rsidRPr="00980A05">
              <w:rPr>
                <w:rFonts w:eastAsia="Calibri"/>
                <w:color w:val="000000"/>
              </w:rPr>
              <w:t>®</w:t>
            </w:r>
            <w:r w:rsidRPr="00616EC7">
              <w:t xml:space="preserve"> MS-DS ont été préparées, elles doivent être analysées dans les 72</w:t>
            </w:r>
            <w:r w:rsidR="00B57966">
              <w:t> </w:t>
            </w:r>
            <w:r w:rsidRPr="00616EC7">
              <w:t>heures suivantes (conservées à température ambiante dans contenant d’origine).</w:t>
            </w:r>
          </w:p>
        </w:tc>
      </w:tr>
    </w:tbl>
    <w:p w14:paraId="699A1DCB" w14:textId="77777777" w:rsidR="00616EC7" w:rsidRDefault="00616EC7" w:rsidP="00616EC7"/>
    <w:p w14:paraId="5875EE6E" w14:textId="77777777" w:rsidR="00364034" w:rsidRPr="00364034" w:rsidRDefault="00364034" w:rsidP="00616EC7">
      <w:pPr>
        <w:pStyle w:val="Titre3"/>
      </w:pPr>
      <w:r w:rsidRPr="00364034">
        <w:t>Analyse des cibles VITEK</w:t>
      </w:r>
      <w:r w:rsidRPr="00364034">
        <w:sym w:font="Symbol" w:char="F0D2"/>
      </w:r>
      <w:r w:rsidR="00616EC7">
        <w:t xml:space="preserve"> MS-DS</w:t>
      </w:r>
    </w:p>
    <w:p w14:paraId="3F48CB33" w14:textId="77777777" w:rsidR="00364034" w:rsidRPr="00616EC7" w:rsidRDefault="00364034" w:rsidP="00616EC7">
      <w:pPr>
        <w:pStyle w:val="Corpsdetexte"/>
        <w:numPr>
          <w:ilvl w:val="0"/>
          <w:numId w:val="31"/>
        </w:numPr>
        <w:tabs>
          <w:tab w:val="left" w:pos="284"/>
        </w:tabs>
        <w:ind w:left="284" w:hanging="284"/>
        <w:rPr>
          <w:szCs w:val="20"/>
        </w:rPr>
      </w:pPr>
      <w:r w:rsidRPr="00616EC7">
        <w:rPr>
          <w:szCs w:val="20"/>
        </w:rPr>
        <w:t>Se référer à la procédure du manufacturier pour la mise en marche de l'appareil et l’analyse des cibles. S’assurer que la banque pour les champignons «</w:t>
      </w:r>
      <w:r w:rsidR="00B57966">
        <w:rPr>
          <w:szCs w:val="20"/>
        </w:rPr>
        <w:t> </w:t>
      </w:r>
      <w:r w:rsidRPr="00616EC7">
        <w:rPr>
          <w:szCs w:val="20"/>
        </w:rPr>
        <w:t>fungi</w:t>
      </w:r>
      <w:r w:rsidR="00B57966">
        <w:rPr>
          <w:szCs w:val="20"/>
        </w:rPr>
        <w:t> </w:t>
      </w:r>
      <w:r w:rsidRPr="00616EC7">
        <w:rPr>
          <w:szCs w:val="20"/>
        </w:rPr>
        <w:t>» est sélectionnée avant de lancer l’analyse.</w:t>
      </w:r>
    </w:p>
    <w:p w14:paraId="66A84A2D" w14:textId="77777777" w:rsidR="00364034" w:rsidRPr="00616EC7" w:rsidRDefault="00364034" w:rsidP="00616EC7">
      <w:pPr>
        <w:pStyle w:val="Corpsdetexte"/>
        <w:numPr>
          <w:ilvl w:val="0"/>
          <w:numId w:val="31"/>
        </w:numPr>
        <w:tabs>
          <w:tab w:val="left" w:pos="284"/>
        </w:tabs>
        <w:ind w:left="284" w:hanging="284"/>
        <w:rPr>
          <w:b/>
          <w:szCs w:val="20"/>
        </w:rPr>
      </w:pPr>
      <w:r w:rsidRPr="00616EC7">
        <w:rPr>
          <w:szCs w:val="20"/>
        </w:rPr>
        <w:t xml:space="preserve">S’assurer que les dépôts sont </w:t>
      </w:r>
      <w:r w:rsidRPr="00616EC7">
        <w:rPr>
          <w:b/>
          <w:szCs w:val="20"/>
        </w:rPr>
        <w:t>complètement secs</w:t>
      </w:r>
      <w:r w:rsidRPr="00616EC7">
        <w:rPr>
          <w:szCs w:val="20"/>
        </w:rPr>
        <w:t xml:space="preserve"> avant l’introduction de la lame dans l’appareil.</w:t>
      </w:r>
    </w:p>
    <w:p w14:paraId="61329AB4" w14:textId="77777777" w:rsidR="00364034" w:rsidRPr="00364034" w:rsidRDefault="00364034" w:rsidP="00616EC7">
      <w:pPr>
        <w:pStyle w:val="Titre3"/>
      </w:pPr>
      <w:r w:rsidRPr="00364034">
        <w:t>Résultats</w:t>
      </w:r>
    </w:p>
    <w:p w14:paraId="6D65DCFB" w14:textId="77777777" w:rsidR="00364034" w:rsidRPr="00364034" w:rsidRDefault="00364034" w:rsidP="00616EC7">
      <w:pPr>
        <w:pStyle w:val="Corpsdetexte"/>
        <w:numPr>
          <w:ilvl w:val="0"/>
          <w:numId w:val="32"/>
        </w:numPr>
        <w:tabs>
          <w:tab w:val="left" w:pos="284"/>
        </w:tabs>
        <w:ind w:left="284" w:hanging="284"/>
      </w:pPr>
      <w:r w:rsidRPr="00364034">
        <w:t>Se référer à la procédure du manufacturier pour l'interprétation et le suivi des résultats.</w:t>
      </w:r>
    </w:p>
    <w:p w14:paraId="77DB711B" w14:textId="77777777" w:rsidR="00364034" w:rsidRPr="00364034" w:rsidRDefault="00364034" w:rsidP="00616EC7">
      <w:pPr>
        <w:pStyle w:val="Corpsdetexte"/>
        <w:numPr>
          <w:ilvl w:val="0"/>
          <w:numId w:val="32"/>
        </w:numPr>
        <w:tabs>
          <w:tab w:val="left" w:pos="284"/>
        </w:tabs>
        <w:ind w:left="284" w:hanging="284"/>
      </w:pPr>
      <w:r w:rsidRPr="00364034">
        <w:t>Seules les genres et espèces se trouvant dans la Base de connaissances V3.2 – (Usage Clinique) peuvent être émis comme résultat au client pour un spécimen cl</w:t>
      </w:r>
      <w:r w:rsidR="00B57966">
        <w:t>inique de routine (voir section </w:t>
      </w:r>
      <w:r w:rsidRPr="00364034">
        <w:t>5.7 ci-dessous).</w:t>
      </w:r>
    </w:p>
    <w:p w14:paraId="388F169D" w14:textId="77777777" w:rsidR="00364034" w:rsidRPr="00364034" w:rsidRDefault="00616EC7" w:rsidP="00616EC7">
      <w:pPr>
        <w:pStyle w:val="Titre2"/>
      </w:pPr>
      <w:r>
        <w:t>Interprétation et rapport</w:t>
      </w:r>
    </w:p>
    <w:p w14:paraId="64635DF9" w14:textId="0D8EB0A6" w:rsidR="00364034" w:rsidRPr="00364034" w:rsidRDefault="00364034" w:rsidP="00616EC7">
      <w:pPr>
        <w:pStyle w:val="Corpsdetexte"/>
      </w:pPr>
      <w:r w:rsidRPr="00364034">
        <w:t>Se référer à la «</w:t>
      </w:r>
      <w:r w:rsidR="0089325B">
        <w:t> </w:t>
      </w:r>
      <w:r w:rsidRPr="00364034">
        <w:t>Liste maîtresse des utilisateurs du groupe M</w:t>
      </w:r>
      <w:r w:rsidR="000A56D8">
        <w:t>ALDI-TOF</w:t>
      </w:r>
      <w:r w:rsidR="0089325B">
        <w:t> </w:t>
      </w:r>
      <w:r w:rsidRPr="00364034">
        <w:t xml:space="preserve">» en vigueur sur </w:t>
      </w:r>
      <w:hyperlink r:id="rId12" w:history="1">
        <w:r w:rsidR="00616EC7" w:rsidRPr="00D919FF">
          <w:rPr>
            <w:rStyle w:val="Lienhypertexte"/>
          </w:rPr>
          <w:t>https://www.inspq.qc.ca/lspq/services/support-aux-laboratoires-maldi-tof</w:t>
        </w:r>
      </w:hyperlink>
      <w:r w:rsidR="00616EC7">
        <w:t xml:space="preserve"> </w:t>
      </w:r>
      <w:r w:rsidRPr="00364034">
        <w:t>pour interprétation et identific</w:t>
      </w:r>
      <w:r w:rsidR="00616EC7">
        <w:t>ation à rapporter selon espèce.</w:t>
      </w:r>
    </w:p>
    <w:p w14:paraId="53190A99" w14:textId="77777777" w:rsidR="00364034" w:rsidRPr="00850CF1" w:rsidRDefault="00364034" w:rsidP="00616EC7">
      <w:pPr>
        <w:pStyle w:val="Puce1"/>
        <w:rPr>
          <w:lang w:eastAsia="fr-CA"/>
        </w:rPr>
      </w:pPr>
      <w:r w:rsidRPr="00850CF1">
        <w:rPr>
          <w:lang w:eastAsia="fr-CA"/>
        </w:rPr>
        <w:t>Résultats concordants acceptés -</w:t>
      </w:r>
      <w:r w:rsidR="00616EC7">
        <w:rPr>
          <w:lang w:eastAsia="fr-CA"/>
        </w:rPr>
        <w:t xml:space="preserve"> </w:t>
      </w:r>
      <w:r w:rsidRPr="00850CF1">
        <w:rPr>
          <w:lang w:eastAsia="fr-CA"/>
        </w:rPr>
        <w:t>≥</w:t>
      </w:r>
      <w:r w:rsidR="00616EC7">
        <w:rPr>
          <w:lang w:eastAsia="fr-CA"/>
        </w:rPr>
        <w:t> </w:t>
      </w:r>
      <w:r w:rsidRPr="00850CF1">
        <w:rPr>
          <w:lang w:eastAsia="fr-CA"/>
        </w:rPr>
        <w:t>90</w:t>
      </w:r>
      <w:r w:rsidR="00616EC7">
        <w:rPr>
          <w:lang w:eastAsia="fr-CA"/>
        </w:rPr>
        <w:t> </w:t>
      </w:r>
      <w:r w:rsidRPr="00850CF1">
        <w:rPr>
          <w:lang w:eastAsia="fr-CA"/>
        </w:rPr>
        <w:t>% : rapporter au client.*</w:t>
      </w:r>
    </w:p>
    <w:p w14:paraId="02B87411" w14:textId="77777777" w:rsidR="00364034" w:rsidRPr="00850CF1" w:rsidRDefault="00364034" w:rsidP="00616EC7">
      <w:pPr>
        <w:pStyle w:val="Puce1"/>
        <w:rPr>
          <w:lang w:eastAsia="fr-CA"/>
        </w:rPr>
      </w:pPr>
      <w:r w:rsidRPr="00850CF1">
        <w:rPr>
          <w:lang w:eastAsia="fr-CA"/>
        </w:rPr>
        <w:t>Rés</w:t>
      </w:r>
      <w:r w:rsidR="00850CF1" w:rsidRPr="00850CF1">
        <w:rPr>
          <w:lang w:eastAsia="fr-CA"/>
        </w:rPr>
        <w:t>ultats à confirmer - 89.9 à 60</w:t>
      </w:r>
      <w:r w:rsidR="00616EC7">
        <w:rPr>
          <w:lang w:eastAsia="fr-CA"/>
        </w:rPr>
        <w:t>,</w:t>
      </w:r>
      <w:r w:rsidR="00850CF1" w:rsidRPr="00850CF1">
        <w:rPr>
          <w:lang w:eastAsia="fr-CA"/>
        </w:rPr>
        <w:t>0</w:t>
      </w:r>
      <w:r w:rsidR="00616EC7">
        <w:rPr>
          <w:lang w:eastAsia="fr-CA"/>
        </w:rPr>
        <w:t> </w:t>
      </w:r>
      <w:r w:rsidR="00850CF1" w:rsidRPr="00850CF1">
        <w:rPr>
          <w:lang w:eastAsia="fr-CA"/>
        </w:rPr>
        <w:t>% :</w:t>
      </w:r>
      <w:r w:rsidRPr="00850CF1">
        <w:rPr>
          <w:lang w:eastAsia="fr-CA"/>
        </w:rPr>
        <w:t xml:space="preserve"> faire tests d’identification supplémentaire</w:t>
      </w:r>
      <w:r w:rsidR="00850CF1" w:rsidRPr="00850CF1">
        <w:rPr>
          <w:lang w:eastAsia="fr-CA"/>
        </w:rPr>
        <w:t>s</w:t>
      </w:r>
      <w:r w:rsidRPr="00850CF1">
        <w:rPr>
          <w:lang w:eastAsia="fr-CA"/>
        </w:rPr>
        <w:t xml:space="preserve"> et/ou soumettre à laboratoire de référence si requis.</w:t>
      </w:r>
    </w:p>
    <w:p w14:paraId="7949538A" w14:textId="77777777" w:rsidR="00364034" w:rsidRPr="00850CF1" w:rsidRDefault="00364034" w:rsidP="00616EC7">
      <w:pPr>
        <w:pStyle w:val="Puce1"/>
        <w:rPr>
          <w:lang w:eastAsia="fr-CA"/>
        </w:rPr>
      </w:pPr>
      <w:r w:rsidRPr="00850CF1">
        <w:rPr>
          <w:lang w:eastAsia="fr-CA"/>
        </w:rPr>
        <w:t>Résultats n</w:t>
      </w:r>
      <w:r w:rsidR="00850CF1" w:rsidRPr="00850CF1">
        <w:rPr>
          <w:lang w:eastAsia="fr-CA"/>
        </w:rPr>
        <w:t>on conformes à rejeter - &lt;</w:t>
      </w:r>
      <w:r w:rsidR="00616EC7">
        <w:rPr>
          <w:lang w:eastAsia="fr-CA"/>
        </w:rPr>
        <w:t> </w:t>
      </w:r>
      <w:r w:rsidR="00850CF1" w:rsidRPr="00850CF1">
        <w:rPr>
          <w:lang w:eastAsia="fr-CA"/>
        </w:rPr>
        <w:t>60</w:t>
      </w:r>
      <w:r w:rsidR="00616EC7">
        <w:rPr>
          <w:lang w:eastAsia="fr-CA"/>
        </w:rPr>
        <w:t> </w:t>
      </w:r>
      <w:r w:rsidR="00850CF1" w:rsidRPr="00850CF1">
        <w:rPr>
          <w:lang w:eastAsia="fr-CA"/>
        </w:rPr>
        <w:t>% :</w:t>
      </w:r>
      <w:r w:rsidRPr="00850CF1">
        <w:rPr>
          <w:lang w:eastAsia="fr-CA"/>
        </w:rPr>
        <w:t xml:space="preserve"> faire tests d’identification supplémentaires et/ou soumettre à laboratoire de référence si requis.</w:t>
      </w:r>
    </w:p>
    <w:p w14:paraId="0D16CB27" w14:textId="77777777" w:rsidR="00364034" w:rsidRPr="00850CF1" w:rsidRDefault="00364034" w:rsidP="00616EC7">
      <w:pPr>
        <w:pStyle w:val="Puce1"/>
        <w:spacing w:after="240"/>
        <w:rPr>
          <w:lang w:eastAsia="fr-CA"/>
        </w:rPr>
      </w:pPr>
      <w:r w:rsidRPr="00850CF1">
        <w:rPr>
          <w:lang w:eastAsia="fr-CA"/>
        </w:rPr>
        <w:t>Résultat - aucune identification : faire tests d’identification supplémentaires et/ou soumettre à labo</w:t>
      </w:r>
      <w:r w:rsidR="00616EC7">
        <w:rPr>
          <w:lang w:eastAsia="fr-CA"/>
        </w:rPr>
        <w:t>ratoire de référence si requis.</w:t>
      </w:r>
    </w:p>
    <w:p w14:paraId="3E7C3E81" w14:textId="77777777" w:rsidR="00364034" w:rsidRPr="00364034" w:rsidRDefault="00364034" w:rsidP="00616EC7">
      <w:pPr>
        <w:pStyle w:val="Corpsdetexte"/>
      </w:pPr>
      <w:r w:rsidRPr="00364034">
        <w:t>*Si l’espèce n’est pas inscrite comme ayant été validée sur la liste maîtresse, faire suivre au LSPQ pour confirmation par séquençage.</w:t>
      </w:r>
    </w:p>
    <w:p w14:paraId="3F76C290" w14:textId="77777777" w:rsidR="00364034" w:rsidRPr="00364034" w:rsidRDefault="00616EC7" w:rsidP="00616EC7">
      <w:pPr>
        <w:pStyle w:val="Titre2"/>
      </w:pPr>
      <w:r>
        <w:t>Valeurs d’alertes ou critiques</w:t>
      </w:r>
    </w:p>
    <w:p w14:paraId="4A12F723" w14:textId="77777777" w:rsidR="00364034" w:rsidRPr="00364034" w:rsidRDefault="00364034" w:rsidP="00616EC7">
      <w:pPr>
        <w:pStyle w:val="Corpsdetexte"/>
      </w:pPr>
      <w:r w:rsidRPr="00364034">
        <w:t>L’identification d'une souche de GR3 (</w:t>
      </w:r>
      <w:r w:rsidRPr="00364034">
        <w:rPr>
          <w:i/>
        </w:rPr>
        <w:t xml:space="preserve">Blastomyces, Coccidioides, Histoplasma, Paracoccidioides </w:t>
      </w:r>
      <w:r w:rsidRPr="00364034">
        <w:t>et</w:t>
      </w:r>
      <w:r w:rsidRPr="00364034">
        <w:rPr>
          <w:i/>
        </w:rPr>
        <w:t xml:space="preserve"> Cladophialophora bantiana</w:t>
      </w:r>
      <w:r w:rsidRPr="00364034">
        <w:t>) doit être rapportée immédiatement au microbiologiste de garde au laboratoire pour s’assurer qu’il n’y a pas eu de bris de procédure et d’exposition lors de la manipulation de ces agents pathogènes.</w:t>
      </w:r>
    </w:p>
    <w:p w14:paraId="549FD7F9" w14:textId="77777777" w:rsidR="00364034" w:rsidRPr="00364034" w:rsidRDefault="00364034" w:rsidP="00616EC7">
      <w:pPr>
        <w:pStyle w:val="Titre2"/>
      </w:pPr>
      <w:r w:rsidRPr="00364034">
        <w:t>Validation par u</w:t>
      </w:r>
      <w:r w:rsidR="00616EC7">
        <w:t>n microbiologiste-infectiologue</w:t>
      </w:r>
    </w:p>
    <w:p w14:paraId="132D58A1" w14:textId="77777777" w:rsidR="00364034" w:rsidRPr="00364034" w:rsidRDefault="00364034" w:rsidP="00616EC7">
      <w:pPr>
        <w:pStyle w:val="Corpsdetexte"/>
      </w:pPr>
      <w:r w:rsidRPr="00364034">
        <w:t>Tous les rapports positifs doivent être validés par le microbiologiste-infectiologue de garde au laboratoire.</w:t>
      </w:r>
    </w:p>
    <w:p w14:paraId="4DADE4EA" w14:textId="77777777" w:rsidR="00364034" w:rsidRPr="00444BAF" w:rsidRDefault="00616EC7" w:rsidP="00616EC7">
      <w:pPr>
        <w:pStyle w:val="Titre2"/>
      </w:pPr>
      <w:r>
        <w:lastRenderedPageBreak/>
        <w:t>Acheminement du rapport</w:t>
      </w:r>
    </w:p>
    <w:p w14:paraId="2333C957" w14:textId="77777777" w:rsidR="00364034" w:rsidRPr="00364034" w:rsidRDefault="00364034" w:rsidP="00616EC7">
      <w:pPr>
        <w:pStyle w:val="Corpsdetexte"/>
      </w:pPr>
      <w:r w:rsidRPr="00364034">
        <w:t>Selon la procédure de votre laboratoire.</w:t>
      </w:r>
    </w:p>
    <w:p w14:paraId="14BFCA67" w14:textId="77777777" w:rsidR="00364034" w:rsidRPr="00364034" w:rsidRDefault="00364034" w:rsidP="00616EC7">
      <w:pPr>
        <w:pStyle w:val="Titre1"/>
      </w:pPr>
      <w:r w:rsidRPr="00364034">
        <w:t>Politiques / procédures / fo</w:t>
      </w:r>
      <w:r w:rsidR="00616EC7">
        <w:t>rmulaires / documents associés</w:t>
      </w:r>
    </w:p>
    <w:p w14:paraId="1CC482F3" w14:textId="77777777" w:rsidR="00364034" w:rsidRPr="00364034" w:rsidRDefault="00364034" w:rsidP="00616EC7">
      <w:pPr>
        <w:pStyle w:val="Corpsdetexte"/>
        <w:rPr>
          <w:rFonts w:eastAsia="Calibri"/>
          <w:lang w:val="fr-FR"/>
        </w:rPr>
      </w:pPr>
      <w:r w:rsidRPr="00364034">
        <w:rPr>
          <w:rFonts w:eastAsia="Calibri"/>
        </w:rPr>
        <w:t>Selon les procédures de votre laboratoire.</w:t>
      </w:r>
    </w:p>
    <w:p w14:paraId="39E05A3A" w14:textId="77777777" w:rsidR="00364034" w:rsidRPr="00364034" w:rsidRDefault="00616EC7" w:rsidP="00616EC7">
      <w:pPr>
        <w:pStyle w:val="Titre1"/>
      </w:pPr>
      <w:r>
        <w:t>Références</w:t>
      </w:r>
    </w:p>
    <w:p w14:paraId="6EF23484" w14:textId="03F5E4A9" w:rsidR="00364034" w:rsidRPr="00444BAF" w:rsidRDefault="00320AE7" w:rsidP="00616EC7">
      <w:pPr>
        <w:pStyle w:val="Puce1"/>
        <w:rPr>
          <w:lang w:val="en-CA"/>
        </w:rPr>
      </w:pPr>
      <w:r>
        <w:rPr>
          <w:lang w:val="en-CA"/>
        </w:rPr>
        <w:t xml:space="preserve">bioMérieux : </w:t>
      </w:r>
      <w:r w:rsidR="00364034" w:rsidRPr="00444BAF">
        <w:rPr>
          <w:lang w:val="en-CA"/>
        </w:rPr>
        <w:t>User</w:t>
      </w:r>
      <w:r>
        <w:rPr>
          <w:lang w:val="en-CA"/>
        </w:rPr>
        <w:t xml:space="preserve"> </w:t>
      </w:r>
      <w:r w:rsidR="00364034" w:rsidRPr="00444BAF">
        <w:rPr>
          <w:lang w:val="en-CA"/>
        </w:rPr>
        <w:t>Manual</w:t>
      </w:r>
      <w:r>
        <w:rPr>
          <w:lang w:val="en-CA"/>
        </w:rPr>
        <w:t xml:space="preserve"> </w:t>
      </w:r>
      <w:r w:rsidR="00364034" w:rsidRPr="00444BAF">
        <w:rPr>
          <w:lang w:val="en-CA"/>
        </w:rPr>
        <w:t>4501-2233</w:t>
      </w:r>
      <w:r>
        <w:rPr>
          <w:lang w:val="en-CA"/>
        </w:rPr>
        <w:t>-</w:t>
      </w:r>
      <w:r w:rsidR="00364034" w:rsidRPr="00444BAF">
        <w:rPr>
          <w:lang w:val="en-CA"/>
        </w:rPr>
        <w:t>C</w:t>
      </w:r>
      <w:r>
        <w:rPr>
          <w:lang w:val="en-CA"/>
        </w:rPr>
        <w:t>-</w:t>
      </w:r>
      <w:r w:rsidR="00364034" w:rsidRPr="00444BAF">
        <w:rPr>
          <w:lang w:val="en-CA"/>
        </w:rPr>
        <w:t>fr-NA-VITEK</w:t>
      </w:r>
      <w:r>
        <w:rPr>
          <w:lang w:val="en-CA"/>
        </w:rPr>
        <w:t xml:space="preserve"> </w:t>
      </w:r>
      <w:r w:rsidR="00364034" w:rsidRPr="00444BAF">
        <w:rPr>
          <w:lang w:val="en-CA"/>
        </w:rPr>
        <w:t>MS</w:t>
      </w:r>
      <w:r>
        <w:rPr>
          <w:lang w:val="en-CA"/>
        </w:rPr>
        <w:t xml:space="preserve"> </w:t>
      </w:r>
      <w:r w:rsidR="00364034" w:rsidRPr="00444BAF">
        <w:rPr>
          <w:lang w:val="en-CA"/>
        </w:rPr>
        <w:t>Clinical</w:t>
      </w:r>
      <w:r>
        <w:rPr>
          <w:lang w:val="en-CA"/>
        </w:rPr>
        <w:t xml:space="preserve"> </w:t>
      </w:r>
      <w:r w:rsidR="00364034" w:rsidRPr="00444BAF">
        <w:rPr>
          <w:lang w:val="en-CA"/>
        </w:rPr>
        <w:t>Use-IVDWorkflow[1]</w:t>
      </w:r>
      <w:r>
        <w:rPr>
          <w:lang w:val="en-CA"/>
        </w:rPr>
        <w:t xml:space="preserve"> </w:t>
      </w:r>
      <w:r w:rsidR="00364034" w:rsidRPr="00444BAF">
        <w:rPr>
          <w:lang w:val="en-CA"/>
        </w:rPr>
        <w:t>2012/05</w:t>
      </w:r>
    </w:p>
    <w:p w14:paraId="5CD596CD" w14:textId="47F31167" w:rsidR="00364034" w:rsidRPr="00444BAF" w:rsidRDefault="00320AE7" w:rsidP="00616EC7">
      <w:pPr>
        <w:pStyle w:val="Puce1"/>
        <w:rPr>
          <w:lang w:val="en-CA"/>
        </w:rPr>
      </w:pPr>
      <w:r w:rsidRPr="00C3785D">
        <w:t xml:space="preserve">bioMérieux : </w:t>
      </w:r>
      <w:r w:rsidR="00364034" w:rsidRPr="00444BAF">
        <w:t xml:space="preserve">VITEK® MS Base de connaissances V3.2 - Usage Clinique, 2018. </w:t>
      </w:r>
      <w:r w:rsidR="00364034" w:rsidRPr="00444BAF">
        <w:rPr>
          <w:lang w:val="en-CA"/>
        </w:rPr>
        <w:t>161150-556</w:t>
      </w:r>
      <w:r>
        <w:rPr>
          <w:lang w:val="en-CA"/>
        </w:rPr>
        <w:t xml:space="preserve"> -</w:t>
      </w:r>
      <w:r w:rsidR="00364034" w:rsidRPr="00444BAF">
        <w:rPr>
          <w:lang w:val="en-CA"/>
        </w:rPr>
        <w:t xml:space="preserve"> A.</w:t>
      </w:r>
    </w:p>
    <w:p w14:paraId="09071137" w14:textId="0C5DB320" w:rsidR="00364034" w:rsidRPr="00444BAF" w:rsidRDefault="00320AE7" w:rsidP="00616EC7">
      <w:pPr>
        <w:pStyle w:val="Puce1"/>
        <w:rPr>
          <w:lang w:val="en-CA"/>
        </w:rPr>
      </w:pPr>
      <w:r>
        <w:rPr>
          <w:lang w:val="en-CA"/>
        </w:rPr>
        <w:t xml:space="preserve">bioMérieux : </w:t>
      </w:r>
      <w:r w:rsidR="00364034" w:rsidRPr="00444BAF">
        <w:rPr>
          <w:lang w:val="en-CA"/>
        </w:rPr>
        <w:t>VITEK® MS MOULD KIT (REF 415680), 20892 B – fr – 2015/05.</w:t>
      </w:r>
    </w:p>
    <w:p w14:paraId="6F2C1D2E" w14:textId="01AD84C2" w:rsidR="00364034" w:rsidRPr="00444BAF" w:rsidRDefault="00320AE7" w:rsidP="00616EC7">
      <w:pPr>
        <w:pStyle w:val="Puce1"/>
        <w:spacing w:after="240"/>
      </w:pPr>
      <w:r>
        <w:rPr>
          <w:lang w:val="en-CA"/>
        </w:rPr>
        <w:t xml:space="preserve">bioMérieux : </w:t>
      </w:r>
      <w:r w:rsidR="00364034" w:rsidRPr="00444BAF">
        <w:rPr>
          <w:lang w:val="en-CA"/>
        </w:rPr>
        <w:t xml:space="preserve">Statement of Inactivation of Moulds by Sample Processing, June 2016. </w:t>
      </w:r>
      <w:r w:rsidR="00364034" w:rsidRPr="00444BAF">
        <w:t>P/N: 008559-1.</w:t>
      </w:r>
    </w:p>
    <w:p w14:paraId="0A686261" w14:textId="77777777" w:rsidR="00364034" w:rsidRPr="00364034" w:rsidRDefault="00616EC7" w:rsidP="00616EC7">
      <w:pPr>
        <w:pStyle w:val="Titre1"/>
      </w:pPr>
      <w:r>
        <w:t>Diffusion</w:t>
      </w:r>
    </w:p>
    <w:p w14:paraId="6192CFAB" w14:textId="77777777" w:rsidR="00364034" w:rsidRPr="00364034" w:rsidRDefault="00364034" w:rsidP="00616EC7">
      <w:pPr>
        <w:pStyle w:val="Corpsdetexte"/>
        <w:rPr>
          <w:rFonts w:eastAsia="Calibri"/>
        </w:rPr>
      </w:pPr>
      <w:r w:rsidRPr="00364034">
        <w:rPr>
          <w:rFonts w:eastAsia="Calibri"/>
        </w:rPr>
        <w:t>Selon les procédures de votre laboratoire.</w:t>
      </w:r>
    </w:p>
    <w:p w14:paraId="5835C84F" w14:textId="77777777" w:rsidR="00364034" w:rsidRPr="00364034" w:rsidRDefault="00364034" w:rsidP="00616EC7">
      <w:pPr>
        <w:pStyle w:val="Titre1"/>
      </w:pPr>
      <w:r w:rsidRPr="00364034">
        <w:t>Version</w:t>
      </w:r>
      <w:r w:rsidR="00850CF1">
        <w:t>s</w:t>
      </w:r>
    </w:p>
    <w:tbl>
      <w:tblPr>
        <w:tblW w:w="0" w:type="auto"/>
        <w:tblLook w:val="04A0" w:firstRow="1" w:lastRow="0" w:firstColumn="1" w:lastColumn="0" w:noHBand="0" w:noVBand="1"/>
      </w:tblPr>
      <w:tblGrid>
        <w:gridCol w:w="983"/>
        <w:gridCol w:w="1177"/>
        <w:gridCol w:w="2371"/>
        <w:gridCol w:w="4819"/>
      </w:tblGrid>
      <w:tr w:rsidR="00364034" w:rsidRPr="00616EC7" w14:paraId="31132199" w14:textId="77777777" w:rsidTr="00F258C5">
        <w:tc>
          <w:tcPr>
            <w:tcW w:w="983"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2525BD6" w14:textId="77777777" w:rsidR="00364034" w:rsidRPr="00616EC7" w:rsidRDefault="00364034" w:rsidP="00616EC7">
            <w:pPr>
              <w:spacing w:before="20" w:after="20"/>
              <w:rPr>
                <w:b/>
              </w:rPr>
            </w:pPr>
            <w:r w:rsidRPr="00616EC7">
              <w:rPr>
                <w:b/>
              </w:rPr>
              <w:t>Versions</w:t>
            </w:r>
          </w:p>
        </w:tc>
        <w:tc>
          <w:tcPr>
            <w:tcW w:w="1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C99F21D" w14:textId="77777777" w:rsidR="00364034" w:rsidRPr="00616EC7" w:rsidRDefault="00364034" w:rsidP="00616EC7">
            <w:pPr>
              <w:spacing w:before="20" w:after="20"/>
              <w:rPr>
                <w:b/>
              </w:rPr>
            </w:pPr>
            <w:r w:rsidRPr="00616EC7">
              <w:rPr>
                <w:b/>
              </w:rPr>
              <w:t>Date</w:t>
            </w:r>
          </w:p>
        </w:tc>
        <w:tc>
          <w:tcPr>
            <w:tcW w:w="23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8EA266A" w14:textId="77777777" w:rsidR="00364034" w:rsidRPr="00616EC7" w:rsidRDefault="00364034" w:rsidP="00616EC7">
            <w:pPr>
              <w:spacing w:before="20" w:after="20"/>
              <w:rPr>
                <w:b/>
              </w:rPr>
            </w:pPr>
            <w:r w:rsidRPr="00616EC7">
              <w:rPr>
                <w:b/>
              </w:rPr>
              <w:t>Auteurs</w:t>
            </w:r>
          </w:p>
        </w:tc>
        <w:tc>
          <w:tcPr>
            <w:tcW w:w="481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D08F37" w14:textId="77777777" w:rsidR="00364034" w:rsidRPr="00616EC7" w:rsidRDefault="00364034" w:rsidP="00616EC7">
            <w:pPr>
              <w:spacing w:before="20" w:after="20"/>
              <w:rPr>
                <w:b/>
              </w:rPr>
            </w:pPr>
            <w:r w:rsidRPr="00616EC7">
              <w:rPr>
                <w:b/>
              </w:rPr>
              <w:t>Modifications</w:t>
            </w:r>
          </w:p>
        </w:tc>
      </w:tr>
      <w:tr w:rsidR="00364034" w:rsidRPr="00364034" w14:paraId="50202164" w14:textId="77777777" w:rsidTr="00F258C5">
        <w:tc>
          <w:tcPr>
            <w:tcW w:w="983" w:type="dxa"/>
            <w:tcBorders>
              <w:top w:val="single" w:sz="4" w:space="0" w:color="auto"/>
              <w:left w:val="single" w:sz="4" w:space="0" w:color="auto"/>
              <w:bottom w:val="single" w:sz="4" w:space="0" w:color="auto"/>
              <w:right w:val="single" w:sz="4" w:space="0" w:color="auto"/>
            </w:tcBorders>
            <w:hideMark/>
          </w:tcPr>
          <w:p w14:paraId="45FCC4A5" w14:textId="77777777" w:rsidR="00364034" w:rsidRPr="00364034" w:rsidRDefault="00364034" w:rsidP="00616EC7">
            <w:pPr>
              <w:spacing w:before="20" w:after="20"/>
            </w:pPr>
            <w:r w:rsidRPr="00364034">
              <w:t>1.0</w:t>
            </w:r>
          </w:p>
        </w:tc>
        <w:tc>
          <w:tcPr>
            <w:tcW w:w="1177" w:type="dxa"/>
            <w:tcBorders>
              <w:top w:val="single" w:sz="4" w:space="0" w:color="auto"/>
              <w:left w:val="single" w:sz="4" w:space="0" w:color="auto"/>
              <w:bottom w:val="single" w:sz="4" w:space="0" w:color="auto"/>
              <w:right w:val="single" w:sz="4" w:space="0" w:color="auto"/>
            </w:tcBorders>
            <w:hideMark/>
          </w:tcPr>
          <w:p w14:paraId="0D10D486" w14:textId="77777777" w:rsidR="00364034" w:rsidRPr="00364034" w:rsidRDefault="00364034" w:rsidP="00616EC7">
            <w:pPr>
              <w:spacing w:before="20" w:after="20"/>
            </w:pPr>
            <w:r w:rsidRPr="00364034">
              <w:t>2018-10-13</w:t>
            </w:r>
          </w:p>
        </w:tc>
        <w:tc>
          <w:tcPr>
            <w:tcW w:w="2371" w:type="dxa"/>
            <w:tcBorders>
              <w:top w:val="single" w:sz="4" w:space="0" w:color="auto"/>
              <w:left w:val="single" w:sz="4" w:space="0" w:color="auto"/>
              <w:bottom w:val="single" w:sz="4" w:space="0" w:color="auto"/>
              <w:right w:val="single" w:sz="4" w:space="0" w:color="auto"/>
            </w:tcBorders>
            <w:hideMark/>
          </w:tcPr>
          <w:p w14:paraId="59B5BF57" w14:textId="77777777" w:rsidR="00364034" w:rsidRPr="00364034" w:rsidRDefault="00364034" w:rsidP="00616EC7">
            <w:pPr>
              <w:spacing w:before="20" w:after="20"/>
            </w:pPr>
            <w:r w:rsidRPr="00364034">
              <w:t>Philippe Dufresne</w:t>
            </w:r>
          </w:p>
          <w:p w14:paraId="2C7A6252" w14:textId="77777777" w:rsidR="00364034" w:rsidRPr="00364034" w:rsidRDefault="00364034" w:rsidP="00616EC7">
            <w:pPr>
              <w:spacing w:before="20" w:after="20"/>
            </w:pPr>
            <w:r w:rsidRPr="00364034">
              <w:t>Marc-Christian Domingo</w:t>
            </w:r>
          </w:p>
          <w:p w14:paraId="6E1AA4F9" w14:textId="77777777" w:rsidR="00364034" w:rsidRPr="00364034" w:rsidRDefault="00364034" w:rsidP="00616EC7">
            <w:pPr>
              <w:spacing w:before="20" w:after="20"/>
            </w:pPr>
            <w:r w:rsidRPr="00364034">
              <w:t>Jeannot Dumaresq</w:t>
            </w:r>
          </w:p>
          <w:p w14:paraId="0F37E5B6" w14:textId="77777777" w:rsidR="00364034" w:rsidRPr="00364034" w:rsidRDefault="00364034" w:rsidP="00616EC7">
            <w:pPr>
              <w:spacing w:before="20" w:after="20"/>
            </w:pPr>
            <w:r w:rsidRPr="00364034">
              <w:t>Jean Longtin</w:t>
            </w:r>
          </w:p>
        </w:tc>
        <w:tc>
          <w:tcPr>
            <w:tcW w:w="4819" w:type="dxa"/>
            <w:tcBorders>
              <w:top w:val="single" w:sz="4" w:space="0" w:color="auto"/>
              <w:left w:val="single" w:sz="4" w:space="0" w:color="auto"/>
              <w:bottom w:val="single" w:sz="4" w:space="0" w:color="auto"/>
              <w:right w:val="single" w:sz="4" w:space="0" w:color="auto"/>
            </w:tcBorders>
            <w:hideMark/>
          </w:tcPr>
          <w:p w14:paraId="6E743754" w14:textId="77777777" w:rsidR="00364034" w:rsidRPr="00364034" w:rsidRDefault="00850CF1" w:rsidP="00616EC7">
            <w:pPr>
              <w:spacing w:before="20" w:after="20"/>
            </w:pPr>
            <w:r>
              <w:t>Rédaction</w:t>
            </w:r>
          </w:p>
          <w:p w14:paraId="7B7B84E7" w14:textId="77777777" w:rsidR="00364034" w:rsidRPr="00364034" w:rsidRDefault="00364034" w:rsidP="00616EC7">
            <w:pPr>
              <w:spacing w:before="20" w:after="20"/>
            </w:pPr>
            <w:r w:rsidRPr="00364034">
              <w:t>Révision</w:t>
            </w:r>
          </w:p>
          <w:p w14:paraId="4CA687A1" w14:textId="77777777" w:rsidR="00364034" w:rsidRPr="00364034" w:rsidRDefault="00364034" w:rsidP="00616EC7">
            <w:pPr>
              <w:spacing w:before="20" w:after="20"/>
            </w:pPr>
            <w:r w:rsidRPr="00364034">
              <w:t>Révision</w:t>
            </w:r>
          </w:p>
          <w:p w14:paraId="2BAE131E" w14:textId="77777777" w:rsidR="00364034" w:rsidRPr="00364034" w:rsidRDefault="00364034" w:rsidP="00616EC7">
            <w:pPr>
              <w:spacing w:before="20" w:after="20"/>
            </w:pPr>
            <w:r w:rsidRPr="00364034">
              <w:t>Révision</w:t>
            </w:r>
          </w:p>
        </w:tc>
      </w:tr>
      <w:tr w:rsidR="00364034" w:rsidRPr="00364034" w14:paraId="39A48FBC" w14:textId="77777777" w:rsidTr="00F258C5">
        <w:tc>
          <w:tcPr>
            <w:tcW w:w="983" w:type="dxa"/>
            <w:tcBorders>
              <w:top w:val="single" w:sz="4" w:space="0" w:color="auto"/>
              <w:left w:val="single" w:sz="4" w:space="0" w:color="auto"/>
              <w:bottom w:val="single" w:sz="4" w:space="0" w:color="auto"/>
              <w:right w:val="single" w:sz="4" w:space="0" w:color="auto"/>
            </w:tcBorders>
          </w:tcPr>
          <w:p w14:paraId="7BADDBB5" w14:textId="77777777" w:rsidR="00364034" w:rsidRPr="00364034" w:rsidRDefault="00364034" w:rsidP="00616EC7">
            <w:pPr>
              <w:spacing w:before="20" w:after="20"/>
            </w:pPr>
            <w:r w:rsidRPr="00364034">
              <w:t>2.0</w:t>
            </w:r>
          </w:p>
        </w:tc>
        <w:tc>
          <w:tcPr>
            <w:tcW w:w="1177" w:type="dxa"/>
            <w:tcBorders>
              <w:top w:val="single" w:sz="4" w:space="0" w:color="auto"/>
              <w:left w:val="single" w:sz="4" w:space="0" w:color="auto"/>
              <w:bottom w:val="single" w:sz="4" w:space="0" w:color="auto"/>
              <w:right w:val="single" w:sz="4" w:space="0" w:color="auto"/>
            </w:tcBorders>
          </w:tcPr>
          <w:p w14:paraId="57D29B8C" w14:textId="77777777" w:rsidR="00364034" w:rsidRPr="00364034" w:rsidRDefault="00850CF1" w:rsidP="00616EC7">
            <w:pPr>
              <w:spacing w:before="20" w:after="20"/>
            </w:pPr>
            <w:r>
              <w:t>2019-05-03</w:t>
            </w:r>
          </w:p>
        </w:tc>
        <w:tc>
          <w:tcPr>
            <w:tcW w:w="2371" w:type="dxa"/>
            <w:tcBorders>
              <w:top w:val="single" w:sz="4" w:space="0" w:color="auto"/>
              <w:left w:val="single" w:sz="4" w:space="0" w:color="auto"/>
              <w:bottom w:val="single" w:sz="4" w:space="0" w:color="auto"/>
              <w:right w:val="single" w:sz="4" w:space="0" w:color="auto"/>
            </w:tcBorders>
          </w:tcPr>
          <w:p w14:paraId="45A6402C" w14:textId="77777777" w:rsidR="00364034" w:rsidRPr="00364034" w:rsidRDefault="00364034" w:rsidP="00616EC7">
            <w:pPr>
              <w:spacing w:before="20" w:after="20"/>
            </w:pPr>
            <w:r w:rsidRPr="00364034">
              <w:t>Philippe Dufresne</w:t>
            </w:r>
          </w:p>
          <w:p w14:paraId="15F8AA8F" w14:textId="77777777" w:rsidR="00364034" w:rsidRPr="00364034" w:rsidRDefault="00364034" w:rsidP="00616EC7">
            <w:pPr>
              <w:spacing w:before="20" w:after="20"/>
            </w:pPr>
            <w:r w:rsidRPr="00364034">
              <w:t>Michel Lebrun</w:t>
            </w:r>
          </w:p>
          <w:p w14:paraId="7FB3E9DD" w14:textId="77777777" w:rsidR="00364034" w:rsidRPr="00364034" w:rsidRDefault="00364034" w:rsidP="00616EC7">
            <w:pPr>
              <w:spacing w:before="20" w:after="20"/>
            </w:pPr>
            <w:r w:rsidRPr="00364034">
              <w:t>Marc-Christian Domingo</w:t>
            </w:r>
          </w:p>
        </w:tc>
        <w:tc>
          <w:tcPr>
            <w:tcW w:w="4819" w:type="dxa"/>
            <w:tcBorders>
              <w:top w:val="single" w:sz="4" w:space="0" w:color="auto"/>
              <w:left w:val="single" w:sz="4" w:space="0" w:color="auto"/>
              <w:bottom w:val="single" w:sz="4" w:space="0" w:color="auto"/>
              <w:right w:val="single" w:sz="4" w:space="0" w:color="auto"/>
            </w:tcBorders>
          </w:tcPr>
          <w:p w14:paraId="341FD326" w14:textId="52EF75F5" w:rsidR="00C8031B" w:rsidRPr="00CB1321" w:rsidRDefault="00C8031B" w:rsidP="00616EC7">
            <w:pPr>
              <w:pStyle w:val="Puce1"/>
              <w:spacing w:after="20"/>
              <w:rPr>
                <w:sz w:val="18"/>
              </w:rPr>
            </w:pPr>
            <w:r w:rsidRPr="00CB1321">
              <w:rPr>
                <w:sz w:val="18"/>
              </w:rPr>
              <w:t>Section 5 : Mise à jour de la numérotation pour alléger le texte.</w:t>
            </w:r>
          </w:p>
          <w:p w14:paraId="43F4290E" w14:textId="164EB477" w:rsidR="00364034" w:rsidRPr="00CB1321" w:rsidRDefault="00364034" w:rsidP="00616EC7">
            <w:pPr>
              <w:pStyle w:val="Puce1"/>
              <w:spacing w:after="20"/>
              <w:rPr>
                <w:sz w:val="18"/>
              </w:rPr>
            </w:pPr>
            <w:r w:rsidRPr="00CB1321">
              <w:rPr>
                <w:sz w:val="18"/>
              </w:rPr>
              <w:t>5.4 : Correction description solution</w:t>
            </w:r>
            <w:r w:rsidR="00CB1321" w:rsidRPr="00CB1321">
              <w:rPr>
                <w:sz w:val="18"/>
              </w:rPr>
              <w:t>s</w:t>
            </w:r>
            <w:r w:rsidRPr="00CB1321">
              <w:rPr>
                <w:sz w:val="18"/>
              </w:rPr>
              <w:t xml:space="preserve"> R2 et R3 inversée</w:t>
            </w:r>
            <w:r w:rsidR="00616EC7" w:rsidRPr="00CB1321">
              <w:rPr>
                <w:sz w:val="18"/>
              </w:rPr>
              <w:t>;</w:t>
            </w:r>
          </w:p>
          <w:p w14:paraId="08D7C62C" w14:textId="77777777" w:rsidR="00364034" w:rsidRPr="00CB1321" w:rsidRDefault="00364034" w:rsidP="00616EC7">
            <w:pPr>
              <w:pStyle w:val="Puce1"/>
              <w:spacing w:after="20"/>
              <w:rPr>
                <w:sz w:val="18"/>
              </w:rPr>
            </w:pPr>
            <w:r w:rsidRPr="00CB1321">
              <w:rPr>
                <w:sz w:val="18"/>
              </w:rPr>
              <w:t>5.6.1 : Omission de page corrigé pour annexe 1</w:t>
            </w:r>
            <w:r w:rsidR="00616EC7" w:rsidRPr="00CB1321">
              <w:rPr>
                <w:sz w:val="18"/>
              </w:rPr>
              <w:t>;</w:t>
            </w:r>
          </w:p>
          <w:p w14:paraId="58DA2F6B" w14:textId="646DF71F" w:rsidR="00364034" w:rsidRPr="00CB1321" w:rsidRDefault="00364034" w:rsidP="00616EC7">
            <w:pPr>
              <w:pStyle w:val="Puce1"/>
              <w:spacing w:after="20"/>
              <w:rPr>
                <w:sz w:val="18"/>
              </w:rPr>
            </w:pPr>
            <w:r w:rsidRPr="00CB1321">
              <w:rPr>
                <w:sz w:val="18"/>
              </w:rPr>
              <w:t>5.7 : section retirée</w:t>
            </w:r>
            <w:r w:rsidR="00CB1321" w:rsidRPr="00CB1321">
              <w:rPr>
                <w:sz w:val="18"/>
              </w:rPr>
              <w:t xml:space="preserve"> (sources potentielles de variation des résultats)</w:t>
            </w:r>
            <w:r w:rsidR="00616EC7" w:rsidRPr="00CB1321">
              <w:rPr>
                <w:sz w:val="18"/>
              </w:rPr>
              <w:t>;</w:t>
            </w:r>
          </w:p>
          <w:p w14:paraId="455A06DE" w14:textId="552F8B64" w:rsidR="00364034" w:rsidRPr="00CB1321" w:rsidRDefault="00364034" w:rsidP="00616EC7">
            <w:pPr>
              <w:pStyle w:val="Puce1"/>
              <w:spacing w:after="20"/>
              <w:rPr>
                <w:sz w:val="18"/>
              </w:rPr>
            </w:pPr>
            <w:r w:rsidRPr="00CB1321">
              <w:rPr>
                <w:sz w:val="18"/>
              </w:rPr>
              <w:t>5.</w:t>
            </w:r>
            <w:r w:rsidR="00CB1321" w:rsidRPr="00CB1321">
              <w:rPr>
                <w:sz w:val="18"/>
              </w:rPr>
              <w:t>7 (anciennement 5.8)</w:t>
            </w:r>
            <w:r w:rsidRPr="00CB1321">
              <w:rPr>
                <w:sz w:val="18"/>
              </w:rPr>
              <w:t> : Interprétation : seuil fixé à 90</w:t>
            </w:r>
            <w:r w:rsidR="00616EC7" w:rsidRPr="00CB1321">
              <w:rPr>
                <w:sz w:val="18"/>
              </w:rPr>
              <w:t> </w:t>
            </w:r>
            <w:r w:rsidRPr="00CB1321">
              <w:rPr>
                <w:sz w:val="18"/>
              </w:rPr>
              <w:t>% pour résultat accepté, 60.0-89.9</w:t>
            </w:r>
            <w:r w:rsidR="00616EC7" w:rsidRPr="00CB1321">
              <w:rPr>
                <w:sz w:val="18"/>
              </w:rPr>
              <w:t> </w:t>
            </w:r>
            <w:r w:rsidRPr="00CB1321">
              <w:rPr>
                <w:sz w:val="18"/>
              </w:rPr>
              <w:t>% à vérifier et &lt;</w:t>
            </w:r>
            <w:r w:rsidR="00CB1321" w:rsidRPr="00CB1321">
              <w:rPr>
                <w:sz w:val="18"/>
              </w:rPr>
              <w:t> </w:t>
            </w:r>
            <w:r w:rsidRPr="00CB1321">
              <w:rPr>
                <w:sz w:val="18"/>
              </w:rPr>
              <w:t>60</w:t>
            </w:r>
            <w:r w:rsidR="00CB1321" w:rsidRPr="00CB1321">
              <w:rPr>
                <w:sz w:val="18"/>
              </w:rPr>
              <w:t> </w:t>
            </w:r>
            <w:r w:rsidRPr="00CB1321">
              <w:rPr>
                <w:sz w:val="18"/>
              </w:rPr>
              <w:t xml:space="preserve">% rejeté. Utilisateurs référés à la liste maîtresse </w:t>
            </w:r>
            <w:r w:rsidR="00616EC7" w:rsidRPr="00CB1321">
              <w:rPr>
                <w:sz w:val="18"/>
              </w:rPr>
              <w:t>du groupe utilisateur MALDI-TOF;</w:t>
            </w:r>
          </w:p>
          <w:p w14:paraId="29C65B2D" w14:textId="3A4077FB" w:rsidR="00364034" w:rsidRPr="00CB1321" w:rsidRDefault="00364034" w:rsidP="00CB1321">
            <w:pPr>
              <w:pStyle w:val="Puce1"/>
              <w:spacing w:after="20"/>
              <w:rPr>
                <w:sz w:val="18"/>
              </w:rPr>
            </w:pPr>
            <w:r w:rsidRPr="00CB1321">
              <w:rPr>
                <w:sz w:val="18"/>
              </w:rPr>
              <w:t>5.6.4</w:t>
            </w:r>
            <w:r w:rsidR="0089325B" w:rsidRPr="00CB1321">
              <w:rPr>
                <w:sz w:val="18"/>
              </w:rPr>
              <w:t xml:space="preserve">, </w:t>
            </w:r>
            <w:r w:rsidRPr="00CB1321">
              <w:rPr>
                <w:sz w:val="18"/>
              </w:rPr>
              <w:t>2</w:t>
            </w:r>
            <w:r w:rsidR="0089325B" w:rsidRPr="00CB1321">
              <w:rPr>
                <w:sz w:val="18"/>
              </w:rPr>
              <w:t>)</w:t>
            </w:r>
            <w:r w:rsidRPr="00CB1321">
              <w:rPr>
                <w:sz w:val="18"/>
              </w:rPr>
              <w:t xml:space="preserve"> et </w:t>
            </w:r>
            <w:r w:rsidR="00CB1321" w:rsidRPr="00CB1321">
              <w:rPr>
                <w:sz w:val="18"/>
              </w:rPr>
              <w:t xml:space="preserve">section </w:t>
            </w:r>
            <w:r w:rsidRPr="00CB1321">
              <w:rPr>
                <w:sz w:val="18"/>
              </w:rPr>
              <w:t>7</w:t>
            </w:r>
            <w:r w:rsidR="00C3785D">
              <w:rPr>
                <w:sz w:val="18"/>
              </w:rPr>
              <w:t xml:space="preserve"> </w:t>
            </w:r>
            <w:r w:rsidR="00CB1321" w:rsidRPr="00CB1321">
              <w:rPr>
                <w:sz w:val="18"/>
              </w:rPr>
              <w:t>(références)</w:t>
            </w:r>
            <w:r w:rsidRPr="00CB1321">
              <w:rPr>
                <w:sz w:val="18"/>
              </w:rPr>
              <w:t> : mise à jour à la banque de connaissance clinique V3.2.</w:t>
            </w:r>
          </w:p>
        </w:tc>
      </w:tr>
      <w:tr w:rsidR="002B58CB" w:rsidRPr="00364034" w14:paraId="469F09A4" w14:textId="77777777" w:rsidTr="00F258C5">
        <w:tc>
          <w:tcPr>
            <w:tcW w:w="983" w:type="dxa"/>
            <w:tcBorders>
              <w:top w:val="single" w:sz="4" w:space="0" w:color="auto"/>
              <w:left w:val="single" w:sz="4" w:space="0" w:color="auto"/>
              <w:bottom w:val="single" w:sz="4" w:space="0" w:color="auto"/>
              <w:right w:val="single" w:sz="4" w:space="0" w:color="auto"/>
            </w:tcBorders>
          </w:tcPr>
          <w:p w14:paraId="30EB46B3" w14:textId="5E41B590" w:rsidR="002B58CB" w:rsidRPr="00364034" w:rsidRDefault="002B58CB" w:rsidP="00616EC7">
            <w:pPr>
              <w:spacing w:before="20" w:after="20"/>
            </w:pPr>
            <w:r>
              <w:t>2.1</w:t>
            </w:r>
          </w:p>
        </w:tc>
        <w:tc>
          <w:tcPr>
            <w:tcW w:w="1177" w:type="dxa"/>
            <w:tcBorders>
              <w:top w:val="single" w:sz="4" w:space="0" w:color="auto"/>
              <w:left w:val="single" w:sz="4" w:space="0" w:color="auto"/>
              <w:bottom w:val="single" w:sz="4" w:space="0" w:color="auto"/>
              <w:right w:val="single" w:sz="4" w:space="0" w:color="auto"/>
            </w:tcBorders>
          </w:tcPr>
          <w:p w14:paraId="4D0408FF" w14:textId="19DF3F1D" w:rsidR="002B58CB" w:rsidRDefault="002B58CB" w:rsidP="00616EC7">
            <w:pPr>
              <w:spacing w:before="20" w:after="20"/>
            </w:pPr>
            <w:r>
              <w:t>2019-11-22</w:t>
            </w:r>
          </w:p>
        </w:tc>
        <w:tc>
          <w:tcPr>
            <w:tcW w:w="2371" w:type="dxa"/>
            <w:tcBorders>
              <w:top w:val="single" w:sz="4" w:space="0" w:color="auto"/>
              <w:left w:val="single" w:sz="4" w:space="0" w:color="auto"/>
              <w:bottom w:val="single" w:sz="4" w:space="0" w:color="auto"/>
              <w:right w:val="single" w:sz="4" w:space="0" w:color="auto"/>
            </w:tcBorders>
          </w:tcPr>
          <w:p w14:paraId="2ED9F72A" w14:textId="2485014C" w:rsidR="002B58CB" w:rsidRPr="00364034" w:rsidRDefault="002B58CB" w:rsidP="00616EC7">
            <w:pPr>
              <w:spacing w:before="20" w:after="20"/>
            </w:pPr>
            <w:r>
              <w:t>Philippe Dufresne</w:t>
            </w:r>
          </w:p>
        </w:tc>
        <w:tc>
          <w:tcPr>
            <w:tcW w:w="4819" w:type="dxa"/>
            <w:tcBorders>
              <w:top w:val="single" w:sz="4" w:space="0" w:color="auto"/>
              <w:left w:val="single" w:sz="4" w:space="0" w:color="auto"/>
              <w:bottom w:val="single" w:sz="4" w:space="0" w:color="auto"/>
              <w:right w:val="single" w:sz="4" w:space="0" w:color="auto"/>
            </w:tcBorders>
          </w:tcPr>
          <w:p w14:paraId="47F1108F" w14:textId="77777777" w:rsidR="002B58CB" w:rsidRDefault="002B58CB" w:rsidP="00616EC7">
            <w:pPr>
              <w:pStyle w:val="Puce1"/>
              <w:spacing w:after="20"/>
              <w:rPr>
                <w:sz w:val="18"/>
              </w:rPr>
            </w:pPr>
            <w:r>
              <w:rPr>
                <w:sz w:val="18"/>
              </w:rPr>
              <w:t>Correction de coquilles dans le texte</w:t>
            </w:r>
          </w:p>
          <w:p w14:paraId="7AEBE437" w14:textId="016E12AA" w:rsidR="00CF6678" w:rsidRPr="00CB1321" w:rsidRDefault="00CF6678" w:rsidP="00616EC7">
            <w:pPr>
              <w:pStyle w:val="Puce1"/>
              <w:spacing w:after="20"/>
              <w:rPr>
                <w:sz w:val="18"/>
              </w:rPr>
            </w:pPr>
            <w:r>
              <w:rPr>
                <w:sz w:val="18"/>
              </w:rPr>
              <w:t>Correction d’omission</w:t>
            </w:r>
            <w:r w:rsidR="00C76991">
              <w:rPr>
                <w:sz w:val="18"/>
              </w:rPr>
              <w:t>s</w:t>
            </w:r>
            <w:r>
              <w:rPr>
                <w:sz w:val="18"/>
              </w:rPr>
              <w:t xml:space="preserve"> à la liste des consommables</w:t>
            </w:r>
          </w:p>
        </w:tc>
      </w:tr>
    </w:tbl>
    <w:p w14:paraId="792AF696" w14:textId="77777777" w:rsidR="00364034" w:rsidRPr="00364034" w:rsidRDefault="00364034" w:rsidP="00CB1321">
      <w:pPr>
        <w:rPr>
          <w:lang w:eastAsia="fr-CA"/>
        </w:rPr>
      </w:pPr>
    </w:p>
    <w:p w14:paraId="0042C9CA" w14:textId="77777777" w:rsidR="00364034" w:rsidRPr="00364034" w:rsidRDefault="00364034" w:rsidP="00CB1321">
      <w:pPr>
        <w:rPr>
          <w:lang w:eastAsia="fr-CA"/>
        </w:rPr>
      </w:pPr>
      <w:r w:rsidRPr="00364034">
        <w:rPr>
          <w:lang w:eastAsia="fr-CA"/>
        </w:rPr>
        <w:br w:type="page"/>
      </w:r>
    </w:p>
    <w:p w14:paraId="1D43F013" w14:textId="77777777" w:rsidR="00364034" w:rsidRPr="00364034" w:rsidRDefault="00364034" w:rsidP="00F41C46">
      <w:pPr>
        <w:pStyle w:val="Annexes"/>
      </w:pPr>
      <w:r w:rsidRPr="00364034">
        <w:lastRenderedPageBreak/>
        <w:t>Préparation des réactifs maison</w:t>
      </w:r>
    </w:p>
    <w:p w14:paraId="525DCA64" w14:textId="77777777" w:rsidR="00364034" w:rsidRPr="00364034" w:rsidRDefault="00364034" w:rsidP="00AF5D18">
      <w:pPr>
        <w:pStyle w:val="Annexetitre1"/>
      </w:pPr>
      <w:r w:rsidRPr="00364034">
        <w:t>Fournisseurs</w:t>
      </w:r>
      <w:r w:rsidRPr="00364034">
        <w:rPr>
          <w:rFonts w:eastAsia="Calibri"/>
        </w:rPr>
        <w:t xml:space="preserve"> recommandés*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3"/>
        <w:gridCol w:w="2895"/>
        <w:gridCol w:w="3040"/>
        <w:gridCol w:w="1852"/>
      </w:tblGrid>
      <w:tr w:rsidR="00364034" w:rsidRPr="00AF5D18" w14:paraId="7ABCFD27" w14:textId="77777777" w:rsidTr="00141D33">
        <w:tc>
          <w:tcPr>
            <w:tcW w:w="1530" w:type="dxa"/>
            <w:shd w:val="clear" w:color="auto" w:fill="D9D9D9" w:themeFill="background1" w:themeFillShade="D9"/>
          </w:tcPr>
          <w:p w14:paraId="732A3D1C" w14:textId="77777777" w:rsidR="00364034" w:rsidRPr="00AF5D18" w:rsidRDefault="00364034" w:rsidP="00AF5D18">
            <w:pPr>
              <w:spacing w:before="20" w:after="20"/>
              <w:rPr>
                <w:b/>
              </w:rPr>
            </w:pPr>
            <w:r w:rsidRPr="00AF5D18">
              <w:rPr>
                <w:b/>
              </w:rPr>
              <w:t>Produit</w:t>
            </w:r>
          </w:p>
        </w:tc>
        <w:tc>
          <w:tcPr>
            <w:tcW w:w="2835" w:type="dxa"/>
            <w:shd w:val="clear" w:color="auto" w:fill="D9D9D9" w:themeFill="background1" w:themeFillShade="D9"/>
          </w:tcPr>
          <w:p w14:paraId="367752C2" w14:textId="77777777" w:rsidR="00364034" w:rsidRPr="00AF5D18" w:rsidRDefault="00364034" w:rsidP="00AF5D18">
            <w:pPr>
              <w:spacing w:before="20" w:after="20"/>
              <w:rPr>
                <w:b/>
              </w:rPr>
            </w:pPr>
            <w:r w:rsidRPr="00AF5D18">
              <w:rPr>
                <w:b/>
              </w:rPr>
              <w:t>Grade</w:t>
            </w:r>
          </w:p>
        </w:tc>
        <w:tc>
          <w:tcPr>
            <w:tcW w:w="2977" w:type="dxa"/>
            <w:shd w:val="clear" w:color="auto" w:fill="D9D9D9" w:themeFill="background1" w:themeFillShade="D9"/>
          </w:tcPr>
          <w:p w14:paraId="1AAEB26C" w14:textId="77777777" w:rsidR="00364034" w:rsidRPr="00AF5D18" w:rsidRDefault="00364034" w:rsidP="00AF5D18">
            <w:pPr>
              <w:spacing w:before="20" w:after="20"/>
              <w:rPr>
                <w:b/>
              </w:rPr>
            </w:pPr>
            <w:r w:rsidRPr="00AF5D18">
              <w:rPr>
                <w:b/>
              </w:rPr>
              <w:t>Fournisseur/ Distributeur</w:t>
            </w:r>
          </w:p>
        </w:tc>
        <w:tc>
          <w:tcPr>
            <w:tcW w:w="1813" w:type="dxa"/>
            <w:shd w:val="clear" w:color="auto" w:fill="D9D9D9" w:themeFill="background1" w:themeFillShade="D9"/>
          </w:tcPr>
          <w:p w14:paraId="3AFF99D3" w14:textId="77777777" w:rsidR="00364034" w:rsidRPr="00AF5D18" w:rsidRDefault="00364034" w:rsidP="00AF5D18">
            <w:pPr>
              <w:spacing w:before="20" w:after="20"/>
              <w:rPr>
                <w:b/>
              </w:rPr>
            </w:pPr>
            <w:r w:rsidRPr="00AF5D18">
              <w:rPr>
                <w:b/>
              </w:rPr>
              <w:t>No. Catalogue</w:t>
            </w:r>
          </w:p>
        </w:tc>
      </w:tr>
      <w:tr w:rsidR="00364034" w:rsidRPr="00364034" w14:paraId="5E0A17E1" w14:textId="77777777" w:rsidTr="00141D33">
        <w:tc>
          <w:tcPr>
            <w:tcW w:w="1530" w:type="dxa"/>
          </w:tcPr>
          <w:p w14:paraId="3F48C8A4" w14:textId="77777777" w:rsidR="00364034" w:rsidRPr="00364034" w:rsidRDefault="00364034" w:rsidP="00AF5D18">
            <w:pPr>
              <w:spacing w:before="20" w:after="20"/>
              <w:rPr>
                <w:szCs w:val="18"/>
                <w:lang w:val="en-CA"/>
              </w:rPr>
            </w:pPr>
            <w:r w:rsidRPr="00364034">
              <w:rPr>
                <w:szCs w:val="18"/>
                <w:lang w:val="en-CA"/>
              </w:rPr>
              <w:t>Acetonitrile</w:t>
            </w:r>
          </w:p>
        </w:tc>
        <w:tc>
          <w:tcPr>
            <w:tcW w:w="2835" w:type="dxa"/>
          </w:tcPr>
          <w:p w14:paraId="6645FEA3" w14:textId="77777777" w:rsidR="00364034" w:rsidRPr="00364034" w:rsidRDefault="00364034" w:rsidP="00AF5D18">
            <w:pPr>
              <w:spacing w:before="20" w:after="20"/>
              <w:rPr>
                <w:szCs w:val="18"/>
                <w:lang w:val="en-CA"/>
              </w:rPr>
            </w:pPr>
            <w:r w:rsidRPr="00364034">
              <w:rPr>
                <w:szCs w:val="18"/>
                <w:lang w:val="en-CA"/>
              </w:rPr>
              <w:t>Biotech &gt;99.93</w:t>
            </w:r>
            <w:r w:rsidR="00E83342">
              <w:rPr>
                <w:szCs w:val="18"/>
                <w:lang w:val="en-CA"/>
              </w:rPr>
              <w:t> </w:t>
            </w:r>
            <w:r w:rsidRPr="00364034">
              <w:rPr>
                <w:szCs w:val="18"/>
                <w:lang w:val="en-CA"/>
              </w:rPr>
              <w:t>% (v/v)</w:t>
            </w:r>
          </w:p>
        </w:tc>
        <w:tc>
          <w:tcPr>
            <w:tcW w:w="2977" w:type="dxa"/>
          </w:tcPr>
          <w:p w14:paraId="2646A2DC" w14:textId="77777777" w:rsidR="00364034" w:rsidRPr="00364034" w:rsidRDefault="00364034" w:rsidP="00AF5D18">
            <w:pPr>
              <w:spacing w:before="20" w:after="20"/>
              <w:rPr>
                <w:szCs w:val="18"/>
                <w:lang w:val="en-CA"/>
              </w:rPr>
            </w:pPr>
            <w:r w:rsidRPr="00364034">
              <w:rPr>
                <w:szCs w:val="18"/>
                <w:lang w:val="en-CA"/>
              </w:rPr>
              <w:t>SIGMA-ALDRICH</w:t>
            </w:r>
          </w:p>
          <w:p w14:paraId="7EE29E1F" w14:textId="77777777" w:rsidR="00364034" w:rsidRPr="00364034" w:rsidRDefault="006677F4" w:rsidP="00AF5D18">
            <w:pPr>
              <w:spacing w:before="20" w:after="20"/>
              <w:rPr>
                <w:szCs w:val="18"/>
              </w:rPr>
            </w:pPr>
            <w:hyperlink r:id="rId13" w:history="1">
              <w:r w:rsidR="00364034" w:rsidRPr="00364034">
                <w:rPr>
                  <w:color w:val="0000FF"/>
                  <w:szCs w:val="18"/>
                  <w:u w:val="single"/>
                  <w:lang w:val="en-CA"/>
                </w:rPr>
                <w:t>https://www.sigmaaldrich.com</w:t>
              </w:r>
            </w:hyperlink>
          </w:p>
        </w:tc>
        <w:tc>
          <w:tcPr>
            <w:tcW w:w="1813" w:type="dxa"/>
          </w:tcPr>
          <w:p w14:paraId="56D9010C" w14:textId="77777777" w:rsidR="00364034" w:rsidRPr="00364034" w:rsidRDefault="00364034" w:rsidP="00AF5D18">
            <w:pPr>
              <w:spacing w:before="20" w:after="20"/>
              <w:rPr>
                <w:szCs w:val="18"/>
              </w:rPr>
            </w:pPr>
            <w:r w:rsidRPr="00364034">
              <w:rPr>
                <w:szCs w:val="18"/>
              </w:rPr>
              <w:t>494445-100ML</w:t>
            </w:r>
          </w:p>
        </w:tc>
      </w:tr>
      <w:tr w:rsidR="00364034" w:rsidRPr="00364034" w14:paraId="7D44F2DA" w14:textId="77777777" w:rsidTr="00141D33">
        <w:tc>
          <w:tcPr>
            <w:tcW w:w="1530" w:type="dxa"/>
          </w:tcPr>
          <w:p w14:paraId="4442E981" w14:textId="77777777" w:rsidR="00364034" w:rsidRPr="00364034" w:rsidRDefault="00364034" w:rsidP="00AF5D18">
            <w:pPr>
              <w:spacing w:before="20" w:after="20"/>
              <w:rPr>
                <w:szCs w:val="18"/>
                <w:lang w:val="en-CA"/>
              </w:rPr>
            </w:pPr>
            <w:r w:rsidRPr="00364034">
              <w:rPr>
                <w:szCs w:val="18"/>
                <w:lang w:val="en-CA"/>
              </w:rPr>
              <w:t>Acide formique</w:t>
            </w:r>
          </w:p>
        </w:tc>
        <w:tc>
          <w:tcPr>
            <w:tcW w:w="2835" w:type="dxa"/>
          </w:tcPr>
          <w:p w14:paraId="5604E0BD" w14:textId="77777777" w:rsidR="00364034" w:rsidRPr="00364034" w:rsidRDefault="00364034" w:rsidP="00AF5D18">
            <w:pPr>
              <w:spacing w:before="20" w:after="20"/>
              <w:rPr>
                <w:szCs w:val="18"/>
                <w:lang w:val="en-CA"/>
              </w:rPr>
            </w:pPr>
            <w:r w:rsidRPr="00364034">
              <w:rPr>
                <w:szCs w:val="18"/>
                <w:lang w:val="en-CA"/>
              </w:rPr>
              <w:t>ACS &gt;96</w:t>
            </w:r>
            <w:r w:rsidR="00E83342">
              <w:rPr>
                <w:szCs w:val="18"/>
                <w:lang w:val="en-CA"/>
              </w:rPr>
              <w:t> </w:t>
            </w:r>
            <w:r w:rsidRPr="00364034">
              <w:rPr>
                <w:szCs w:val="18"/>
                <w:lang w:val="en-CA"/>
              </w:rPr>
              <w:t>% (v/v)</w:t>
            </w:r>
          </w:p>
        </w:tc>
        <w:tc>
          <w:tcPr>
            <w:tcW w:w="2977" w:type="dxa"/>
          </w:tcPr>
          <w:p w14:paraId="142E9B90" w14:textId="77777777" w:rsidR="00364034" w:rsidRPr="00364034" w:rsidRDefault="00364034" w:rsidP="00AF5D18">
            <w:pPr>
              <w:spacing w:before="20" w:after="20"/>
              <w:rPr>
                <w:szCs w:val="18"/>
                <w:lang w:val="en-CA"/>
              </w:rPr>
            </w:pPr>
            <w:r w:rsidRPr="00364034">
              <w:rPr>
                <w:szCs w:val="18"/>
                <w:lang w:val="en-CA"/>
              </w:rPr>
              <w:t>SIGMA-ALDRICH</w:t>
            </w:r>
          </w:p>
          <w:p w14:paraId="5B12A22D" w14:textId="77777777" w:rsidR="00364034" w:rsidRPr="00364034" w:rsidRDefault="006677F4" w:rsidP="00AF5D18">
            <w:pPr>
              <w:spacing w:before="20" w:after="20"/>
              <w:rPr>
                <w:szCs w:val="18"/>
                <w:lang w:val="en-CA"/>
              </w:rPr>
            </w:pPr>
            <w:hyperlink r:id="rId14" w:history="1">
              <w:r w:rsidR="00364034" w:rsidRPr="00364034">
                <w:rPr>
                  <w:color w:val="0000FF"/>
                  <w:szCs w:val="18"/>
                  <w:u w:val="single"/>
                  <w:lang w:val="en-CA"/>
                </w:rPr>
                <w:t>https://www.sigmaaldrich.com</w:t>
              </w:r>
            </w:hyperlink>
          </w:p>
        </w:tc>
        <w:tc>
          <w:tcPr>
            <w:tcW w:w="1813" w:type="dxa"/>
          </w:tcPr>
          <w:p w14:paraId="74E48165" w14:textId="77777777" w:rsidR="00364034" w:rsidRPr="00364034" w:rsidRDefault="00364034" w:rsidP="00AF5D18">
            <w:pPr>
              <w:spacing w:before="20" w:after="20"/>
              <w:rPr>
                <w:szCs w:val="18"/>
              </w:rPr>
            </w:pPr>
            <w:r w:rsidRPr="00364034">
              <w:rPr>
                <w:szCs w:val="18"/>
              </w:rPr>
              <w:t>695076-100ML</w:t>
            </w:r>
          </w:p>
        </w:tc>
      </w:tr>
      <w:tr w:rsidR="00364034" w:rsidRPr="00364034" w14:paraId="693AB5DC" w14:textId="77777777" w:rsidTr="00141D33">
        <w:tc>
          <w:tcPr>
            <w:tcW w:w="1530" w:type="dxa"/>
          </w:tcPr>
          <w:p w14:paraId="59259C71" w14:textId="77777777" w:rsidR="00364034" w:rsidRPr="00364034" w:rsidRDefault="00364034" w:rsidP="00AF5D18">
            <w:pPr>
              <w:spacing w:before="20" w:after="20"/>
              <w:rPr>
                <w:szCs w:val="18"/>
                <w:lang w:val="en-CA"/>
              </w:rPr>
            </w:pPr>
            <w:r w:rsidRPr="00364034">
              <w:rPr>
                <w:szCs w:val="18"/>
                <w:lang w:val="en-CA"/>
              </w:rPr>
              <w:t>Alcool éthylique anhydre</w:t>
            </w:r>
          </w:p>
        </w:tc>
        <w:tc>
          <w:tcPr>
            <w:tcW w:w="2835" w:type="dxa"/>
          </w:tcPr>
          <w:p w14:paraId="12EF6FA6" w14:textId="77777777" w:rsidR="00364034" w:rsidRPr="00364034" w:rsidRDefault="00364034" w:rsidP="00AF5D18">
            <w:pPr>
              <w:spacing w:before="20" w:after="20"/>
              <w:rPr>
                <w:szCs w:val="18"/>
                <w:lang w:val="en-CA"/>
              </w:rPr>
            </w:pPr>
            <w:r w:rsidRPr="00364034">
              <w:rPr>
                <w:szCs w:val="18"/>
                <w:lang w:val="en-CA"/>
              </w:rPr>
              <w:t>99.9</w:t>
            </w:r>
            <w:r w:rsidR="00E83342">
              <w:rPr>
                <w:szCs w:val="18"/>
                <w:lang w:val="en-CA"/>
              </w:rPr>
              <w:t> </w:t>
            </w:r>
            <w:r w:rsidRPr="00364034">
              <w:rPr>
                <w:szCs w:val="18"/>
                <w:lang w:val="en-CA"/>
              </w:rPr>
              <w:t>% (&lt;0,1</w:t>
            </w:r>
            <w:r w:rsidR="00F91ADC">
              <w:rPr>
                <w:szCs w:val="18"/>
                <w:lang w:val="en-CA"/>
              </w:rPr>
              <w:t> </w:t>
            </w:r>
            <w:r w:rsidRPr="00364034">
              <w:rPr>
                <w:szCs w:val="18"/>
                <w:lang w:val="en-CA"/>
              </w:rPr>
              <w:t>% eau)</w:t>
            </w:r>
          </w:p>
        </w:tc>
        <w:tc>
          <w:tcPr>
            <w:tcW w:w="2977" w:type="dxa"/>
          </w:tcPr>
          <w:p w14:paraId="069AE98E" w14:textId="77777777" w:rsidR="00364034" w:rsidRPr="00364034" w:rsidRDefault="00364034" w:rsidP="00AF5D18">
            <w:pPr>
              <w:spacing w:before="20" w:after="20"/>
              <w:rPr>
                <w:szCs w:val="18"/>
                <w:lang w:val="en-CA"/>
              </w:rPr>
            </w:pPr>
            <w:r w:rsidRPr="00364034">
              <w:rPr>
                <w:szCs w:val="18"/>
                <w:lang w:val="en-CA"/>
              </w:rPr>
              <w:t>Les Alcools de Commerce</w:t>
            </w:r>
          </w:p>
        </w:tc>
        <w:tc>
          <w:tcPr>
            <w:tcW w:w="1813" w:type="dxa"/>
          </w:tcPr>
          <w:p w14:paraId="7FFEB38A" w14:textId="77777777" w:rsidR="00364034" w:rsidRPr="00364034" w:rsidRDefault="00364034" w:rsidP="00AF5D18">
            <w:pPr>
              <w:spacing w:before="20" w:after="20"/>
              <w:rPr>
                <w:szCs w:val="18"/>
              </w:rPr>
            </w:pPr>
            <w:r w:rsidRPr="00364034">
              <w:rPr>
                <w:szCs w:val="18"/>
              </w:rPr>
              <w:t>P016EAAN</w:t>
            </w:r>
          </w:p>
        </w:tc>
      </w:tr>
      <w:tr w:rsidR="00364034" w:rsidRPr="00364034" w14:paraId="0E4DD23C" w14:textId="77777777" w:rsidTr="00141D33">
        <w:tc>
          <w:tcPr>
            <w:tcW w:w="1530" w:type="dxa"/>
          </w:tcPr>
          <w:p w14:paraId="0C5F9529" w14:textId="77777777" w:rsidR="00364034" w:rsidRPr="00364034" w:rsidRDefault="00364034" w:rsidP="00AF5D18">
            <w:pPr>
              <w:spacing w:before="20" w:after="20"/>
              <w:rPr>
                <w:szCs w:val="18"/>
                <w:lang w:val="en-CA"/>
              </w:rPr>
            </w:pPr>
            <w:r w:rsidRPr="00364034">
              <w:rPr>
                <w:szCs w:val="18"/>
                <w:lang w:val="en-CA"/>
              </w:rPr>
              <w:t xml:space="preserve">Eau </w:t>
            </w:r>
          </w:p>
        </w:tc>
        <w:tc>
          <w:tcPr>
            <w:tcW w:w="2835" w:type="dxa"/>
          </w:tcPr>
          <w:p w14:paraId="49EA105F" w14:textId="77777777" w:rsidR="00364034" w:rsidRPr="00850CF1" w:rsidRDefault="00364034" w:rsidP="00AF5D18">
            <w:pPr>
              <w:spacing w:before="20" w:after="20"/>
              <w:rPr>
                <w:szCs w:val="18"/>
              </w:rPr>
            </w:pPr>
            <w:r w:rsidRPr="00850CF1">
              <w:rPr>
                <w:szCs w:val="18"/>
              </w:rPr>
              <w:t>Ultrapure (Biotech)</w:t>
            </w:r>
          </w:p>
          <w:p w14:paraId="3382FB7B" w14:textId="77777777" w:rsidR="00364034" w:rsidRPr="00850CF1" w:rsidRDefault="00364034" w:rsidP="00AF5D18">
            <w:pPr>
              <w:spacing w:before="20" w:after="20"/>
              <w:rPr>
                <w:szCs w:val="18"/>
              </w:rPr>
            </w:pPr>
            <w:r w:rsidRPr="00850CF1">
              <w:rPr>
                <w:szCs w:val="18"/>
              </w:rPr>
              <w:t>cert. sans DNase/RNase</w:t>
            </w:r>
          </w:p>
        </w:tc>
        <w:tc>
          <w:tcPr>
            <w:tcW w:w="2977" w:type="dxa"/>
          </w:tcPr>
          <w:p w14:paraId="42F677E6" w14:textId="77777777" w:rsidR="00364034" w:rsidRPr="00364034" w:rsidRDefault="00364034" w:rsidP="00AF5D18">
            <w:pPr>
              <w:spacing w:before="20" w:after="20"/>
              <w:rPr>
                <w:szCs w:val="18"/>
                <w:lang w:val="en-CA"/>
              </w:rPr>
            </w:pPr>
            <w:r w:rsidRPr="00364034">
              <w:rPr>
                <w:szCs w:val="18"/>
                <w:lang w:val="en-CA"/>
              </w:rPr>
              <w:t>Invitrogen / FisherScientific</w:t>
            </w:r>
          </w:p>
          <w:p w14:paraId="046280B5" w14:textId="77777777" w:rsidR="00364034" w:rsidRPr="00364034" w:rsidRDefault="006677F4" w:rsidP="00AF5D18">
            <w:pPr>
              <w:spacing w:before="20" w:after="20"/>
              <w:rPr>
                <w:szCs w:val="18"/>
                <w:lang w:val="en-CA"/>
              </w:rPr>
            </w:pPr>
            <w:hyperlink r:id="rId15" w:history="1">
              <w:r w:rsidR="00364034" w:rsidRPr="00364034">
                <w:rPr>
                  <w:color w:val="0000FF"/>
                  <w:szCs w:val="18"/>
                  <w:u w:val="single"/>
                  <w:lang w:val="en-CA"/>
                </w:rPr>
                <w:t>https://www.fishersci.ca</w:t>
              </w:r>
            </w:hyperlink>
            <w:r w:rsidR="00364034" w:rsidRPr="00364034">
              <w:rPr>
                <w:szCs w:val="18"/>
                <w:lang w:val="en-CA"/>
              </w:rPr>
              <w:t xml:space="preserve"> </w:t>
            </w:r>
          </w:p>
        </w:tc>
        <w:tc>
          <w:tcPr>
            <w:tcW w:w="1813" w:type="dxa"/>
          </w:tcPr>
          <w:p w14:paraId="51F0648A" w14:textId="77777777" w:rsidR="00364034" w:rsidRPr="00364034" w:rsidRDefault="00364034" w:rsidP="00AF5D18">
            <w:pPr>
              <w:spacing w:before="20" w:after="20"/>
              <w:rPr>
                <w:szCs w:val="18"/>
                <w:lang w:val="en-CA"/>
              </w:rPr>
            </w:pPr>
            <w:r w:rsidRPr="00364034">
              <w:rPr>
                <w:szCs w:val="18"/>
                <w:lang w:val="en-CA"/>
              </w:rPr>
              <w:t>LS10977015</w:t>
            </w:r>
          </w:p>
        </w:tc>
      </w:tr>
      <w:tr w:rsidR="00364034" w:rsidRPr="00364034" w14:paraId="07FB3F7C" w14:textId="77777777" w:rsidTr="00141D33">
        <w:tc>
          <w:tcPr>
            <w:tcW w:w="1530" w:type="dxa"/>
          </w:tcPr>
          <w:p w14:paraId="5A8701F1" w14:textId="77777777" w:rsidR="00364034" w:rsidRPr="00364034" w:rsidRDefault="00364034" w:rsidP="00AF5D18">
            <w:pPr>
              <w:spacing w:before="20" w:after="20"/>
              <w:rPr>
                <w:szCs w:val="18"/>
                <w:lang w:val="en-CA"/>
              </w:rPr>
            </w:pPr>
            <w:r w:rsidRPr="00364034">
              <w:rPr>
                <w:szCs w:val="18"/>
                <w:lang w:val="en-CA"/>
              </w:rPr>
              <w:t>Microtube</w:t>
            </w:r>
          </w:p>
        </w:tc>
        <w:tc>
          <w:tcPr>
            <w:tcW w:w="2835" w:type="dxa"/>
          </w:tcPr>
          <w:p w14:paraId="08625298" w14:textId="77777777" w:rsidR="00364034" w:rsidRPr="00364034" w:rsidRDefault="00E83342" w:rsidP="00AF5D18">
            <w:pPr>
              <w:spacing w:before="20" w:after="20"/>
              <w:rPr>
                <w:szCs w:val="18"/>
              </w:rPr>
            </w:pPr>
            <w:r>
              <w:rPr>
                <w:szCs w:val="18"/>
              </w:rPr>
              <w:t>Polypropylène, 2 </w:t>
            </w:r>
            <w:r w:rsidR="00364034" w:rsidRPr="00364034">
              <w:rPr>
                <w:szCs w:val="18"/>
              </w:rPr>
              <w:t>mL, vissable avec joint caoutchouc, stérile</w:t>
            </w:r>
          </w:p>
        </w:tc>
        <w:tc>
          <w:tcPr>
            <w:tcW w:w="2977" w:type="dxa"/>
          </w:tcPr>
          <w:p w14:paraId="3F07551B" w14:textId="77777777" w:rsidR="00364034" w:rsidRPr="00364034" w:rsidRDefault="00364034" w:rsidP="00AF5D18">
            <w:pPr>
              <w:spacing w:before="20" w:after="20"/>
              <w:rPr>
                <w:szCs w:val="18"/>
                <w:lang w:val="en-CA"/>
              </w:rPr>
            </w:pPr>
            <w:r w:rsidRPr="00364034">
              <w:rPr>
                <w:szCs w:val="18"/>
                <w:lang w:val="en-CA"/>
              </w:rPr>
              <w:t xml:space="preserve">Starstedt/ FisherScientific </w:t>
            </w:r>
            <w:hyperlink r:id="rId16" w:history="1">
              <w:r w:rsidRPr="00364034">
                <w:rPr>
                  <w:color w:val="0000FF"/>
                  <w:szCs w:val="18"/>
                  <w:u w:val="single"/>
                  <w:lang w:val="en-CA"/>
                </w:rPr>
                <w:t>https://www.fishersci.ca</w:t>
              </w:r>
            </w:hyperlink>
          </w:p>
        </w:tc>
        <w:tc>
          <w:tcPr>
            <w:tcW w:w="1813" w:type="dxa"/>
          </w:tcPr>
          <w:p w14:paraId="1758B604" w14:textId="77777777" w:rsidR="00364034" w:rsidRPr="00364034" w:rsidRDefault="00364034" w:rsidP="00AF5D18">
            <w:pPr>
              <w:spacing w:before="20" w:after="20"/>
              <w:rPr>
                <w:szCs w:val="18"/>
              </w:rPr>
            </w:pPr>
            <w:r w:rsidRPr="00364034">
              <w:rPr>
                <w:szCs w:val="18"/>
              </w:rPr>
              <w:t>R</w:t>
            </w:r>
            <w:r w:rsidR="00F91ADC">
              <w:rPr>
                <w:szCs w:val="18"/>
              </w:rPr>
              <w:t>éf</w:t>
            </w:r>
            <w:r w:rsidRPr="00364034">
              <w:rPr>
                <w:szCs w:val="18"/>
              </w:rPr>
              <w:t> : 72.793.005</w:t>
            </w:r>
          </w:p>
          <w:p w14:paraId="414B7CB0" w14:textId="77777777" w:rsidR="00364034" w:rsidRPr="00364034" w:rsidRDefault="00364034" w:rsidP="00AF5D18">
            <w:pPr>
              <w:spacing w:before="20" w:after="20"/>
              <w:rPr>
                <w:szCs w:val="18"/>
              </w:rPr>
            </w:pPr>
            <w:r w:rsidRPr="00364034">
              <w:rPr>
                <w:szCs w:val="18"/>
              </w:rPr>
              <w:t>NC0418367</w:t>
            </w:r>
          </w:p>
        </w:tc>
      </w:tr>
    </w:tbl>
    <w:p w14:paraId="4CBF3FD4" w14:textId="77777777" w:rsidR="00364034" w:rsidRPr="00AF5D18" w:rsidRDefault="00364034" w:rsidP="00AF5D18">
      <w:pPr>
        <w:spacing w:before="40" w:after="240"/>
        <w:rPr>
          <w:noProof/>
          <w:sz w:val="20"/>
          <w:lang w:eastAsia="fr-CA"/>
        </w:rPr>
      </w:pPr>
      <w:r w:rsidRPr="00AF5D18">
        <w:rPr>
          <w:b/>
          <w:sz w:val="16"/>
          <w:lang w:eastAsia="fr-CA"/>
        </w:rPr>
        <w:t>*Note :</w:t>
      </w:r>
      <w:r w:rsidRPr="00AF5D18">
        <w:rPr>
          <w:sz w:val="16"/>
          <w:lang w:eastAsia="fr-CA"/>
        </w:rPr>
        <w:t xml:space="preserve"> Les fournisseurs et distributeurs ne sont fournis qu’</w:t>
      </w:r>
      <w:r w:rsidRPr="00AF5D18">
        <w:rPr>
          <w:sz w:val="16"/>
        </w:rPr>
        <w:t>à titre indicatif</w:t>
      </w:r>
      <w:r w:rsidRPr="00AF5D18">
        <w:rPr>
          <w:sz w:val="16"/>
          <w:lang w:eastAsia="fr-CA"/>
        </w:rPr>
        <w:t xml:space="preserve"> et pour assister les laboratoires dans l’élaboration de leur protocole. D’autres fournisseurs pourront être utilisés s’ils offrent des produits équivalents.</w:t>
      </w:r>
      <w:r w:rsidRPr="00AF5D18">
        <w:rPr>
          <w:sz w:val="16"/>
        </w:rPr>
        <w:t xml:space="preserve"> Une validation comparative avec la trousse  VITEK</w:t>
      </w:r>
      <w:r w:rsidRPr="00AF5D18">
        <w:rPr>
          <w:sz w:val="16"/>
          <w:vertAlign w:val="superscript"/>
        </w:rPr>
        <w:sym w:font="Symbol" w:char="F0D2"/>
      </w:r>
      <w:r w:rsidRPr="00AF5D18">
        <w:rPr>
          <w:sz w:val="16"/>
        </w:rPr>
        <w:t xml:space="preserve"> MS MOULD KIT est alors requise.</w:t>
      </w:r>
    </w:p>
    <w:p w14:paraId="6000824D" w14:textId="77777777" w:rsidR="00364034" w:rsidRPr="00364034" w:rsidRDefault="00364034" w:rsidP="00AF5D18">
      <w:pPr>
        <w:pStyle w:val="Annexetitre1"/>
      </w:pPr>
      <w:r w:rsidRPr="00364034">
        <w:t>Matériel et ré</w:t>
      </w:r>
      <w:r w:rsidR="00AF5D18">
        <w:t>actifs</w:t>
      </w:r>
    </w:p>
    <w:p w14:paraId="0E93BF75" w14:textId="77777777" w:rsidR="00364034" w:rsidRPr="00364034" w:rsidRDefault="00364034" w:rsidP="00AF5D18">
      <w:pPr>
        <w:pStyle w:val="Puce1"/>
      </w:pPr>
      <w:r w:rsidRPr="00364034">
        <w:t>Acetonitrile (grade Biotech)</w:t>
      </w:r>
    </w:p>
    <w:p w14:paraId="5524AC2B" w14:textId="77777777" w:rsidR="00364034" w:rsidRPr="00364034" w:rsidRDefault="00364034" w:rsidP="00AF5D18">
      <w:pPr>
        <w:pStyle w:val="Puce1"/>
      </w:pPr>
      <w:r w:rsidRPr="00364034">
        <w:t>Alcool éthylique anhydre</w:t>
      </w:r>
    </w:p>
    <w:p w14:paraId="7AEDBE17" w14:textId="77777777" w:rsidR="00364034" w:rsidRPr="00364034" w:rsidRDefault="00364034" w:rsidP="00AF5D18">
      <w:pPr>
        <w:pStyle w:val="Puce1"/>
      </w:pPr>
      <w:r w:rsidRPr="00364034">
        <w:t>Acide formique (grade ACS)</w:t>
      </w:r>
    </w:p>
    <w:p w14:paraId="0DA27BB5" w14:textId="77777777" w:rsidR="00364034" w:rsidRPr="00364034" w:rsidRDefault="00364034" w:rsidP="00AF5D18">
      <w:pPr>
        <w:pStyle w:val="Puce1"/>
      </w:pPr>
      <w:r w:rsidRPr="00364034">
        <w:t>Eau ultrapure (grade biologie moléculaire)</w:t>
      </w:r>
    </w:p>
    <w:p w14:paraId="2D709244" w14:textId="77777777" w:rsidR="00364034" w:rsidRPr="00364034" w:rsidRDefault="00364034" w:rsidP="00AF5D18">
      <w:pPr>
        <w:pStyle w:val="Puce1"/>
      </w:pPr>
      <w:r w:rsidRPr="00364034">
        <w:t>Tube conique de 50</w:t>
      </w:r>
      <w:r w:rsidR="00F91ADC">
        <w:t> </w:t>
      </w:r>
      <w:r w:rsidRPr="00364034">
        <w:t>mL de polypropylène</w:t>
      </w:r>
    </w:p>
    <w:p w14:paraId="71C20190" w14:textId="77777777" w:rsidR="002B58CB" w:rsidRDefault="00364034" w:rsidP="002B58CB">
      <w:pPr>
        <w:pStyle w:val="Puce1"/>
        <w:rPr>
          <w:szCs w:val="20"/>
        </w:rPr>
      </w:pPr>
      <w:r w:rsidRPr="00364034">
        <w:t>Microtubes 2</w:t>
      </w:r>
      <w:r w:rsidR="00F91ADC">
        <w:t> </w:t>
      </w:r>
      <w:r w:rsidRPr="00364034">
        <w:t>mL de polypropylène</w:t>
      </w:r>
      <w:r w:rsidR="002B58CB" w:rsidRPr="002B58CB">
        <w:rPr>
          <w:szCs w:val="20"/>
        </w:rPr>
        <w:t xml:space="preserve"> </w:t>
      </w:r>
    </w:p>
    <w:p w14:paraId="660A86E3" w14:textId="77777777" w:rsidR="002B58CB" w:rsidRDefault="002B58CB" w:rsidP="002B58CB">
      <w:pPr>
        <w:pStyle w:val="Puce1"/>
        <w:rPr>
          <w:szCs w:val="20"/>
        </w:rPr>
      </w:pPr>
      <w:r>
        <w:rPr>
          <w:szCs w:val="20"/>
        </w:rPr>
        <w:t>Seringue 5 mL</w:t>
      </w:r>
    </w:p>
    <w:p w14:paraId="2EAC9EA4" w14:textId="77777777" w:rsidR="002B58CB" w:rsidRPr="002B58CB" w:rsidRDefault="002B58CB" w:rsidP="002B58CB">
      <w:pPr>
        <w:pStyle w:val="Puce1"/>
        <w:numPr>
          <w:ilvl w:val="0"/>
          <w:numId w:val="0"/>
        </w:numPr>
        <w:ind w:left="284"/>
        <w:rPr>
          <w:szCs w:val="20"/>
        </w:rPr>
      </w:pPr>
    </w:p>
    <w:p w14:paraId="1331E0CE" w14:textId="77777777" w:rsidR="00364034" w:rsidRPr="00364034" w:rsidRDefault="00364034" w:rsidP="00AF5D18">
      <w:pPr>
        <w:pStyle w:val="Annexetitre1"/>
        <w:rPr>
          <w:rFonts w:eastAsia="Calibri"/>
        </w:rPr>
      </w:pPr>
      <w:r w:rsidRPr="00364034">
        <w:rPr>
          <w:iCs/>
        </w:rPr>
        <w:t>Étapes</w:t>
      </w:r>
      <w:r w:rsidR="00AF5D18">
        <w:t xml:space="preserve"> / procédure</w:t>
      </w:r>
    </w:p>
    <w:p w14:paraId="7B89EA24" w14:textId="77777777" w:rsidR="00364034" w:rsidRPr="00AF5D18" w:rsidRDefault="00364034" w:rsidP="00AF5D18">
      <w:pPr>
        <w:pStyle w:val="Corpsdetexte"/>
        <w:numPr>
          <w:ilvl w:val="0"/>
          <w:numId w:val="33"/>
        </w:numPr>
        <w:tabs>
          <w:tab w:val="left" w:pos="284"/>
        </w:tabs>
        <w:ind w:left="284" w:hanging="284"/>
        <w:rPr>
          <w:rFonts w:eastAsia="Calibri"/>
          <w:b/>
        </w:rPr>
      </w:pPr>
      <w:r w:rsidRPr="00AF5D18">
        <w:rPr>
          <w:rFonts w:eastAsia="Calibri"/>
          <w:b/>
        </w:rPr>
        <w:t>Préparation d'aliquots de travail d’acétonitrile</w:t>
      </w:r>
    </w:p>
    <w:tbl>
      <w:tblPr>
        <w:tblStyle w:val="Grilledutableau"/>
        <w:tblW w:w="0" w:type="auto"/>
        <w:tblLook w:val="04A0" w:firstRow="1" w:lastRow="0" w:firstColumn="1" w:lastColumn="0" w:noHBand="0" w:noVBand="1"/>
      </w:tblPr>
      <w:tblGrid>
        <w:gridCol w:w="9350"/>
      </w:tblGrid>
      <w:tr w:rsidR="00AF5D18" w14:paraId="12BDC7AF" w14:textId="77777777" w:rsidTr="00AF5D18">
        <w:tc>
          <w:tcPr>
            <w:tcW w:w="9350" w:type="dxa"/>
          </w:tcPr>
          <w:p w14:paraId="74E866D4" w14:textId="77777777" w:rsidR="00AF5D18" w:rsidRDefault="00AF5D18" w:rsidP="00AF5D18">
            <w:pPr>
              <w:pStyle w:val="Corpsdetexte"/>
              <w:spacing w:before="60" w:after="60"/>
            </w:pPr>
            <w:r w:rsidRPr="00AF5D18">
              <w:rPr>
                <w:b/>
              </w:rPr>
              <w:t>Note</w:t>
            </w:r>
            <w:r>
              <w:t> :</w:t>
            </w:r>
            <w:r w:rsidRPr="00AF5D18">
              <w:t xml:space="preserve"> Pour limiter l’évaporation du produit, nous recommandons l’utilisation d’une bouteille munie d’un septa en caoutchouc et l’utilisation d’une seringue lorsque vous prélevez un aliquote.</w:t>
            </w:r>
          </w:p>
        </w:tc>
      </w:tr>
    </w:tbl>
    <w:p w14:paraId="15A23102" w14:textId="77777777" w:rsidR="00AF5D18" w:rsidRDefault="00AF5D18" w:rsidP="00AF5D18"/>
    <w:p w14:paraId="0A3EE88E" w14:textId="77777777" w:rsidR="00364034" w:rsidRPr="00364034" w:rsidRDefault="00364034" w:rsidP="00AF5D18">
      <w:pPr>
        <w:pStyle w:val="Puce1"/>
      </w:pPr>
      <w:r w:rsidRPr="00364034">
        <w:t xml:space="preserve">À l’aide d’une seringue stérile de </w:t>
      </w:r>
      <w:r w:rsidR="00E83342">
        <w:t>5 </w:t>
      </w:r>
      <w:r w:rsidRPr="00364034">
        <w:t>mL en polypropylène, prélever 2 mL de la bouteille mère. Aliquoter 1-2</w:t>
      </w:r>
      <w:r w:rsidR="00E83342">
        <w:t> </w:t>
      </w:r>
      <w:r w:rsidRPr="00364034">
        <w:t>mL dans des microtube de 2</w:t>
      </w:r>
      <w:r w:rsidR="00E83342">
        <w:t> </w:t>
      </w:r>
      <w:r w:rsidRPr="00364034">
        <w:t>mL de polypropylène.</w:t>
      </w:r>
    </w:p>
    <w:p w14:paraId="2A6C465C" w14:textId="77777777" w:rsidR="00364034" w:rsidRPr="00364034" w:rsidRDefault="00364034" w:rsidP="00AF5D18">
      <w:pPr>
        <w:pStyle w:val="Puce1"/>
        <w:spacing w:after="240"/>
        <w:rPr>
          <w:rFonts w:eastAsia="Times New Roman"/>
          <w:szCs w:val="24"/>
          <w:lang w:eastAsia="fr-CA"/>
        </w:rPr>
      </w:pPr>
      <w:r w:rsidRPr="00364034">
        <w:t>Conserver entre 2-25</w:t>
      </w:r>
      <w:r w:rsidRPr="00364034">
        <w:rPr>
          <w:rFonts w:eastAsia="Times New Roman"/>
          <w:szCs w:val="24"/>
          <w:lang w:eastAsia="fr-CA"/>
        </w:rPr>
        <w:t xml:space="preserve"> °C (maximum</w:t>
      </w:r>
      <w:r w:rsidR="00AF5D18">
        <w:rPr>
          <w:rFonts w:eastAsia="Times New Roman"/>
          <w:szCs w:val="24"/>
          <w:lang w:eastAsia="fr-CA"/>
        </w:rPr>
        <w:t> </w:t>
      </w:r>
      <w:r w:rsidRPr="00364034">
        <w:rPr>
          <w:rFonts w:eastAsia="Times New Roman"/>
          <w:szCs w:val="24"/>
          <w:lang w:eastAsia="fr-CA"/>
        </w:rPr>
        <w:t>: 2</w:t>
      </w:r>
      <w:r w:rsidR="00E83342">
        <w:rPr>
          <w:rFonts w:eastAsia="Times New Roman"/>
          <w:szCs w:val="24"/>
          <w:lang w:eastAsia="fr-CA"/>
        </w:rPr>
        <w:t> </w:t>
      </w:r>
      <w:r w:rsidRPr="00364034">
        <w:t>semaines</w:t>
      </w:r>
      <w:r w:rsidRPr="00364034">
        <w:rPr>
          <w:rFonts w:eastAsia="Times New Roman"/>
          <w:szCs w:val="24"/>
          <w:lang w:eastAsia="fr-CA"/>
        </w:rPr>
        <w:t>).</w:t>
      </w:r>
    </w:p>
    <w:p w14:paraId="16D408CC" w14:textId="77777777" w:rsidR="00364034" w:rsidRPr="00AF5D18" w:rsidRDefault="00364034" w:rsidP="00AF5D18">
      <w:pPr>
        <w:pStyle w:val="Corpsdetexte"/>
        <w:numPr>
          <w:ilvl w:val="0"/>
          <w:numId w:val="33"/>
        </w:numPr>
        <w:tabs>
          <w:tab w:val="left" w:pos="284"/>
        </w:tabs>
        <w:ind w:left="284" w:hanging="284"/>
        <w:rPr>
          <w:rFonts w:eastAsia="Calibri"/>
          <w:b/>
        </w:rPr>
      </w:pPr>
      <w:r w:rsidRPr="00AF5D18">
        <w:rPr>
          <w:rFonts w:eastAsia="Calibri"/>
          <w:b/>
        </w:rPr>
        <w:t>Préparation solution 70% acide formique (aliquot 1 mL)</w:t>
      </w:r>
    </w:p>
    <w:p w14:paraId="5F6237A0" w14:textId="3EDA7917" w:rsidR="00364034" w:rsidRPr="00364034" w:rsidRDefault="00364034" w:rsidP="00AF5D18">
      <w:pPr>
        <w:pStyle w:val="Puce1"/>
      </w:pPr>
      <w:r w:rsidRPr="00364034">
        <w:t xml:space="preserve">Pipetter </w:t>
      </w:r>
      <w:r w:rsidR="00957A14" w:rsidRPr="00364034">
        <w:t>300 µL d’eau Ultrapur</w:t>
      </w:r>
      <w:r w:rsidR="00957A14">
        <w:t>e</w:t>
      </w:r>
      <w:r w:rsidR="00957A14" w:rsidRPr="00364034">
        <w:t xml:space="preserve"> </w:t>
      </w:r>
      <w:r w:rsidRPr="00364034">
        <w:t>d</w:t>
      </w:r>
      <w:r w:rsidR="00957A14">
        <w:t>ans un tube microtube de 2 mL en</w:t>
      </w:r>
      <w:r w:rsidRPr="00364034">
        <w:t xml:space="preserve"> polypropylène.</w:t>
      </w:r>
    </w:p>
    <w:p w14:paraId="55FCD3D5" w14:textId="499F6022" w:rsidR="00364034" w:rsidRPr="00364034" w:rsidRDefault="00364034" w:rsidP="00AF5D18">
      <w:pPr>
        <w:pStyle w:val="Puce1"/>
      </w:pPr>
      <w:r w:rsidRPr="00364034">
        <w:t>Ajouter</w:t>
      </w:r>
      <w:r w:rsidR="00957A14">
        <w:t xml:space="preserve"> </w:t>
      </w:r>
      <w:r w:rsidR="00957A14" w:rsidRPr="00364034">
        <w:t>700 µL</w:t>
      </w:r>
      <w:r w:rsidR="00957A14">
        <w:t xml:space="preserve"> d’acide formique pure</w:t>
      </w:r>
      <w:r w:rsidR="00E83342">
        <w:t>. Bien mélanger avec un vortex</w:t>
      </w:r>
    </w:p>
    <w:p w14:paraId="5F5782FF" w14:textId="77777777" w:rsidR="00364034" w:rsidRPr="00E83342" w:rsidRDefault="00364034" w:rsidP="00AF5D18">
      <w:pPr>
        <w:pStyle w:val="Puce1"/>
        <w:spacing w:after="240"/>
      </w:pPr>
      <w:r w:rsidRPr="00364034">
        <w:t>Conserver entre 2-25</w:t>
      </w:r>
      <w:r w:rsidR="00F91ADC">
        <w:t> </w:t>
      </w:r>
      <w:r w:rsidRPr="00364034">
        <w:rPr>
          <w:rFonts w:eastAsia="Times New Roman"/>
          <w:szCs w:val="24"/>
          <w:lang w:eastAsia="fr-CA"/>
        </w:rPr>
        <w:t>°C (maximum</w:t>
      </w:r>
      <w:r w:rsidR="00AF5D18">
        <w:rPr>
          <w:rFonts w:eastAsia="Times New Roman"/>
          <w:szCs w:val="24"/>
          <w:lang w:eastAsia="fr-CA"/>
        </w:rPr>
        <w:t> </w:t>
      </w:r>
      <w:r w:rsidRPr="00364034">
        <w:rPr>
          <w:rFonts w:eastAsia="Times New Roman"/>
          <w:szCs w:val="24"/>
          <w:lang w:eastAsia="fr-CA"/>
        </w:rPr>
        <w:t xml:space="preserve">: 2 </w:t>
      </w:r>
      <w:r w:rsidRPr="00364034">
        <w:t>semaines</w:t>
      </w:r>
      <w:r w:rsidRPr="00364034">
        <w:rPr>
          <w:rFonts w:eastAsia="Times New Roman"/>
          <w:szCs w:val="24"/>
          <w:lang w:eastAsia="fr-CA"/>
        </w:rPr>
        <w:t>).</w:t>
      </w:r>
    </w:p>
    <w:p w14:paraId="3B494AB3" w14:textId="77777777" w:rsidR="00E83342" w:rsidRDefault="00E83342">
      <w:pPr>
        <w:spacing w:after="160" w:line="259" w:lineRule="auto"/>
      </w:pPr>
      <w:r>
        <w:br w:type="page"/>
      </w:r>
    </w:p>
    <w:p w14:paraId="05C39B9C" w14:textId="77777777" w:rsidR="00364034" w:rsidRPr="00AF5D18" w:rsidRDefault="00364034" w:rsidP="00AF5D18">
      <w:pPr>
        <w:pStyle w:val="Corpsdetexte"/>
        <w:numPr>
          <w:ilvl w:val="0"/>
          <w:numId w:val="33"/>
        </w:numPr>
        <w:tabs>
          <w:tab w:val="left" w:pos="284"/>
        </w:tabs>
        <w:ind w:left="284" w:hanging="284"/>
        <w:rPr>
          <w:rFonts w:eastAsia="Calibri"/>
          <w:b/>
        </w:rPr>
      </w:pPr>
      <w:r w:rsidRPr="00AF5D18">
        <w:rPr>
          <w:rFonts w:eastAsia="Calibri"/>
          <w:b/>
        </w:rPr>
        <w:lastRenderedPageBreak/>
        <w:t>Préparation solution 70% alcool éthylique.</w:t>
      </w:r>
    </w:p>
    <w:p w14:paraId="3C355656" w14:textId="77777777" w:rsidR="00364034" w:rsidRPr="00364034" w:rsidRDefault="00364034" w:rsidP="00AF5D18">
      <w:pPr>
        <w:pStyle w:val="Puce1"/>
      </w:pPr>
      <w:r w:rsidRPr="00364034">
        <w:t>Dans un tube conique de 50 mL en polypropylène, ajouter 35 mL d’alcool anhydre (conc. &gt;</w:t>
      </w:r>
      <w:r w:rsidR="00AF5D18">
        <w:t> </w:t>
      </w:r>
      <w:r w:rsidRPr="00364034">
        <w:t>99.9</w:t>
      </w:r>
      <w:r w:rsidR="00AF5D18">
        <w:t> </w:t>
      </w:r>
      <w:r w:rsidRPr="00364034">
        <w:t>%).</w:t>
      </w:r>
    </w:p>
    <w:p w14:paraId="653DF097" w14:textId="77777777" w:rsidR="00364034" w:rsidRPr="00364034" w:rsidRDefault="00364034" w:rsidP="00AF5D18">
      <w:pPr>
        <w:pStyle w:val="Puce1"/>
      </w:pPr>
      <w:r w:rsidRPr="00364034">
        <w:t>Ajouter 15 mL d’eau Ultrapur</w:t>
      </w:r>
      <w:r w:rsidR="00AF5D18">
        <w:t>e. Bien mélanger avec un vortex.</w:t>
      </w:r>
    </w:p>
    <w:p w14:paraId="1443B869" w14:textId="77777777" w:rsidR="00364034" w:rsidRPr="00364034" w:rsidRDefault="00364034" w:rsidP="00AF5D18">
      <w:pPr>
        <w:pStyle w:val="Puce1"/>
        <w:spacing w:after="240"/>
      </w:pPr>
      <w:r w:rsidRPr="00364034">
        <w:t>Conserver entre 2-25</w:t>
      </w:r>
      <w:r w:rsidRPr="00364034">
        <w:rPr>
          <w:rFonts w:eastAsia="Times New Roman"/>
          <w:szCs w:val="24"/>
          <w:lang w:eastAsia="fr-CA"/>
        </w:rPr>
        <w:t xml:space="preserve"> °C (maximum</w:t>
      </w:r>
      <w:r w:rsidR="00AF5D18">
        <w:rPr>
          <w:rFonts w:eastAsia="Times New Roman"/>
          <w:szCs w:val="24"/>
          <w:lang w:eastAsia="fr-CA"/>
        </w:rPr>
        <w:t> </w:t>
      </w:r>
      <w:r w:rsidRPr="00364034">
        <w:rPr>
          <w:rFonts w:eastAsia="Times New Roman"/>
          <w:szCs w:val="24"/>
          <w:lang w:eastAsia="fr-CA"/>
        </w:rPr>
        <w:t xml:space="preserve">: 2 </w:t>
      </w:r>
      <w:r w:rsidRPr="00364034">
        <w:t>semaines</w:t>
      </w:r>
      <w:r w:rsidRPr="00364034">
        <w:rPr>
          <w:rFonts w:eastAsia="Times New Roman"/>
          <w:szCs w:val="24"/>
          <w:lang w:eastAsia="fr-CA"/>
        </w:rPr>
        <w:t>).</w:t>
      </w:r>
    </w:p>
    <w:p w14:paraId="050648AC" w14:textId="77777777" w:rsidR="00364034" w:rsidRPr="00364034" w:rsidRDefault="00AF5D18" w:rsidP="00AF5D18">
      <w:pPr>
        <w:pStyle w:val="Annexetitre1"/>
        <w:rPr>
          <w:rFonts w:eastAsia="Calibri"/>
        </w:rPr>
      </w:pPr>
      <w:r>
        <w:t>Contrôle de la qualité</w:t>
      </w:r>
    </w:p>
    <w:p w14:paraId="5D1EAE9F" w14:textId="77777777" w:rsidR="00364034" w:rsidRPr="00364034" w:rsidRDefault="00364034" w:rsidP="00AF5D18">
      <w:pPr>
        <w:pStyle w:val="Puce1"/>
      </w:pPr>
      <w:r w:rsidRPr="00364034">
        <w:t xml:space="preserve">Les réactifs chimiques (acétonitrile, alcool éthylique </w:t>
      </w:r>
      <w:r w:rsidR="00AF5D18">
        <w:t xml:space="preserve">anhydre et acide formique) </w:t>
      </w:r>
      <w:r w:rsidRPr="00364034">
        <w:t>peuvent être conservés un maximum de 6 mois après ouverture.</w:t>
      </w:r>
    </w:p>
    <w:p w14:paraId="7D1DF62E" w14:textId="77777777" w:rsidR="00364034" w:rsidRPr="00364034" w:rsidRDefault="00364034" w:rsidP="00AF5D18">
      <w:pPr>
        <w:pStyle w:val="Puce1"/>
      </w:pPr>
      <w:r w:rsidRPr="00364034">
        <w:t>Les solutions de travail et dilutions peuvent être conservées un maximum de 2</w:t>
      </w:r>
      <w:r w:rsidR="00E83342">
        <w:t> </w:t>
      </w:r>
      <w:r w:rsidRPr="00364034">
        <w:t>semaines après leur préparation.</w:t>
      </w:r>
    </w:p>
    <w:p w14:paraId="017A3C8C" w14:textId="77777777" w:rsidR="00364034" w:rsidRPr="00364034" w:rsidRDefault="00364034" w:rsidP="00AF5D18">
      <w:pPr>
        <w:pStyle w:val="Puce1"/>
      </w:pPr>
      <w:r w:rsidRPr="00364034">
        <w:t xml:space="preserve">La </w:t>
      </w:r>
      <w:r w:rsidRPr="00364034">
        <w:rPr>
          <w:color w:val="000000"/>
        </w:rPr>
        <w:t>souche d'étalonnage (</w:t>
      </w:r>
      <w:r w:rsidRPr="00364034">
        <w:rPr>
          <w:i/>
          <w:iCs/>
          <w:color w:val="000000"/>
        </w:rPr>
        <w:t xml:space="preserve">Escherichia coli </w:t>
      </w:r>
      <w:r w:rsidRPr="00364034">
        <w:rPr>
          <w:color w:val="000000"/>
        </w:rPr>
        <w:t>ATCC® 8739), la souche contrôle positif (</w:t>
      </w:r>
      <w:r w:rsidRPr="00364034">
        <w:rPr>
          <w:i/>
          <w:color w:val="000000"/>
        </w:rPr>
        <w:t>Aspergillus flavus</w:t>
      </w:r>
      <w:r w:rsidRPr="00364034">
        <w:rPr>
          <w:color w:val="000000"/>
        </w:rPr>
        <w:t xml:space="preserve"> ATCC® 204304 ou </w:t>
      </w:r>
      <w:r w:rsidRPr="00364034">
        <w:rPr>
          <w:i/>
          <w:color w:val="000000"/>
        </w:rPr>
        <w:t xml:space="preserve">Aspergillus brasiliensis </w:t>
      </w:r>
      <w:r w:rsidRPr="00364034">
        <w:rPr>
          <w:color w:val="000000"/>
        </w:rPr>
        <w:t>ATCC® 16404) et le contrôle négatif doivent donner les résultats attendus (voir section 5.4– Matériel et procédure de contrôle de la qualité) avec les réactifs préparés.</w:t>
      </w:r>
    </w:p>
    <w:sectPr w:rsidR="00364034" w:rsidRPr="00364034" w:rsidSect="00C01DD7">
      <w:headerReference w:type="default" r:id="rId17"/>
      <w:type w:val="continuous"/>
      <w:pgSz w:w="12240" w:h="15840"/>
      <w:pgMar w:top="1171" w:right="1440" w:bottom="1135" w:left="1440" w:header="709"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477CFC1" w14:textId="77777777" w:rsidR="002863AA" w:rsidRDefault="002863AA" w:rsidP="002A1FBC">
      <w:r>
        <w:separator/>
      </w:r>
    </w:p>
    <w:p w14:paraId="436A08FD" w14:textId="77777777" w:rsidR="002863AA" w:rsidRDefault="002863AA"/>
  </w:endnote>
  <w:endnote w:type="continuationSeparator" w:id="0">
    <w:p w14:paraId="31BDAD0E" w14:textId="77777777" w:rsidR="002863AA" w:rsidRDefault="002863AA" w:rsidP="002A1FBC">
      <w:r>
        <w:continuationSeparator/>
      </w:r>
    </w:p>
    <w:p w14:paraId="54A4C3C2" w14:textId="77777777" w:rsidR="002863AA" w:rsidRDefault="002863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Gras">
    <w:panose1 w:val="020B0704020202020204"/>
    <w:charset w:val="00"/>
    <w:family w:val="roman"/>
    <w:pitch w:val="default"/>
  </w:font>
  <w:font w:name="Calibri">
    <w:panose1 w:val="020F0502020204030204"/>
    <w:charset w:val="00"/>
    <w:family w:val="swiss"/>
    <w:pitch w:val="variable"/>
    <w:sig w:usb0="E00002FF" w:usb1="4000ACFF" w:usb2="00000001" w:usb3="00000000" w:csb0="0000019F" w:csb1="00000000"/>
  </w:font>
  <w:font w:name="HelveticaNeueLT Std">
    <w:panose1 w:val="020B0604020202020204"/>
    <w:charset w:val="00"/>
    <w:family w:val="swiss"/>
    <w:notTrueType/>
    <w:pitch w:val="variable"/>
    <w:sig w:usb0="800000AF" w:usb1="4000204A" w:usb2="00000000" w:usb3="00000000" w:csb0="00000001" w:csb1="00000000"/>
  </w:font>
  <w:font w:name="Raleway">
    <w:panose1 w:val="020B0003030101060003"/>
    <w:charset w:val="00"/>
    <w:family w:val="swiss"/>
    <w:notTrueType/>
    <w:pitch w:val="variable"/>
    <w:sig w:usb0="A00000BF" w:usb1="5000005B"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E89BA" w14:textId="77777777" w:rsidR="000F7EE1" w:rsidRDefault="000F7EE1"/>
  <w:p w14:paraId="42A649E3" w14:textId="77777777" w:rsidR="00A30253" w:rsidRDefault="00A3025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top w:w="57" w:type="dxa"/>
        <w:bottom w:w="57" w:type="dxa"/>
      </w:tblCellMar>
      <w:tblLook w:val="04A0" w:firstRow="1" w:lastRow="0" w:firstColumn="1" w:lastColumn="0" w:noHBand="0" w:noVBand="1"/>
    </w:tblPr>
    <w:tblGrid>
      <w:gridCol w:w="3964"/>
      <w:gridCol w:w="1276"/>
      <w:gridCol w:w="2835"/>
      <w:gridCol w:w="1275"/>
    </w:tblGrid>
    <w:tr w:rsidR="00A314C3" w14:paraId="0A27A148" w14:textId="77777777" w:rsidTr="00F066A5">
      <w:tc>
        <w:tcPr>
          <w:tcW w:w="3964" w:type="dxa"/>
        </w:tcPr>
        <w:p w14:paraId="7C685CF5" w14:textId="77777777" w:rsidR="00A314C3" w:rsidRPr="0018702C" w:rsidRDefault="00A314C3" w:rsidP="00863E04">
          <w:pPr>
            <w:rPr>
              <w:sz w:val="16"/>
              <w:szCs w:val="18"/>
            </w:rPr>
          </w:pPr>
          <w:r w:rsidRPr="0018702C">
            <w:rPr>
              <w:b/>
              <w:sz w:val="16"/>
              <w:szCs w:val="18"/>
            </w:rPr>
            <w:t xml:space="preserve">Rédigé par : </w:t>
          </w:r>
          <w:r w:rsidRPr="0018702C">
            <w:rPr>
              <w:sz w:val="16"/>
              <w:szCs w:val="18"/>
            </w:rPr>
            <w:t>Philippe Dufresne</w:t>
          </w:r>
        </w:p>
      </w:tc>
      <w:tc>
        <w:tcPr>
          <w:tcW w:w="1276" w:type="dxa"/>
          <w:tcBorders>
            <w:right w:val="nil"/>
          </w:tcBorders>
        </w:tcPr>
        <w:p w14:paraId="4AC31D83" w14:textId="77777777" w:rsidR="00A314C3" w:rsidRPr="0018702C" w:rsidRDefault="00A27E74" w:rsidP="00F066A5">
          <w:pPr>
            <w:rPr>
              <w:b/>
              <w:sz w:val="16"/>
              <w:szCs w:val="18"/>
            </w:rPr>
          </w:pPr>
          <w:r>
            <w:rPr>
              <w:b/>
              <w:sz w:val="16"/>
              <w:szCs w:val="18"/>
            </w:rPr>
            <w:t>Révisé</w:t>
          </w:r>
          <w:r w:rsidR="00A314C3" w:rsidRPr="0018702C">
            <w:rPr>
              <w:b/>
              <w:sz w:val="16"/>
              <w:szCs w:val="18"/>
            </w:rPr>
            <w:t xml:space="preserve"> par :</w:t>
          </w:r>
        </w:p>
      </w:tc>
      <w:tc>
        <w:tcPr>
          <w:tcW w:w="2835" w:type="dxa"/>
          <w:tcBorders>
            <w:left w:val="nil"/>
          </w:tcBorders>
        </w:tcPr>
        <w:p w14:paraId="3A500F5E" w14:textId="77777777" w:rsidR="00A314C3" w:rsidRPr="0018702C" w:rsidRDefault="00850CF1" w:rsidP="007F75AE">
          <w:pPr>
            <w:rPr>
              <w:sz w:val="16"/>
              <w:szCs w:val="18"/>
            </w:rPr>
          </w:pPr>
          <w:r>
            <w:rPr>
              <w:sz w:val="16"/>
              <w:szCs w:val="18"/>
            </w:rPr>
            <w:t>Voir section 9</w:t>
          </w:r>
        </w:p>
      </w:tc>
      <w:tc>
        <w:tcPr>
          <w:tcW w:w="1275" w:type="dxa"/>
        </w:tcPr>
        <w:p w14:paraId="2C6A6EC1" w14:textId="77777777" w:rsidR="00A314C3" w:rsidRPr="0018702C" w:rsidRDefault="00A314C3">
          <w:pPr>
            <w:rPr>
              <w:sz w:val="16"/>
              <w:szCs w:val="18"/>
            </w:rPr>
          </w:pPr>
          <w:r w:rsidRPr="0018702C">
            <w:rPr>
              <w:sz w:val="16"/>
              <w:szCs w:val="18"/>
            </w:rPr>
            <w:t xml:space="preserve">Page </w:t>
          </w:r>
          <w:r w:rsidRPr="0018702C">
            <w:rPr>
              <w:b/>
              <w:sz w:val="16"/>
              <w:szCs w:val="18"/>
            </w:rPr>
            <w:fldChar w:fldCharType="begin"/>
          </w:r>
          <w:r w:rsidRPr="0018702C">
            <w:rPr>
              <w:b/>
              <w:sz w:val="16"/>
              <w:szCs w:val="18"/>
            </w:rPr>
            <w:instrText>PAGE   \* MERGEFORMAT</w:instrText>
          </w:r>
          <w:r w:rsidRPr="0018702C">
            <w:rPr>
              <w:b/>
              <w:sz w:val="16"/>
              <w:szCs w:val="18"/>
            </w:rPr>
            <w:fldChar w:fldCharType="separate"/>
          </w:r>
          <w:r w:rsidR="006677F4" w:rsidRPr="006677F4">
            <w:rPr>
              <w:b/>
              <w:noProof/>
              <w:sz w:val="16"/>
              <w:szCs w:val="18"/>
              <w:lang w:val="fr-FR"/>
            </w:rPr>
            <w:t>1</w:t>
          </w:r>
          <w:r w:rsidRPr="0018702C">
            <w:rPr>
              <w:b/>
              <w:sz w:val="16"/>
              <w:szCs w:val="18"/>
            </w:rPr>
            <w:fldChar w:fldCharType="end"/>
          </w:r>
          <w:r w:rsidRPr="0018702C">
            <w:rPr>
              <w:sz w:val="16"/>
              <w:szCs w:val="18"/>
            </w:rPr>
            <w:t xml:space="preserve"> de </w:t>
          </w:r>
          <w:r w:rsidRPr="0018702C">
            <w:rPr>
              <w:b/>
              <w:sz w:val="16"/>
              <w:szCs w:val="18"/>
            </w:rPr>
            <w:fldChar w:fldCharType="begin"/>
          </w:r>
          <w:r w:rsidRPr="0018702C">
            <w:rPr>
              <w:b/>
              <w:sz w:val="16"/>
              <w:szCs w:val="18"/>
            </w:rPr>
            <w:instrText xml:space="preserve"> NUMPAGES  \* Arabic  \* MERGEFORMAT </w:instrText>
          </w:r>
          <w:r w:rsidRPr="0018702C">
            <w:rPr>
              <w:b/>
              <w:sz w:val="16"/>
              <w:szCs w:val="18"/>
            </w:rPr>
            <w:fldChar w:fldCharType="separate"/>
          </w:r>
          <w:r w:rsidR="006677F4">
            <w:rPr>
              <w:b/>
              <w:noProof/>
              <w:sz w:val="16"/>
              <w:szCs w:val="18"/>
            </w:rPr>
            <w:t>9</w:t>
          </w:r>
          <w:r w:rsidRPr="0018702C">
            <w:rPr>
              <w:b/>
              <w:sz w:val="16"/>
              <w:szCs w:val="18"/>
            </w:rPr>
            <w:fldChar w:fldCharType="end"/>
          </w:r>
        </w:p>
      </w:tc>
    </w:tr>
  </w:tbl>
  <w:p w14:paraId="2D62FF5B" w14:textId="77777777" w:rsidR="00A30253" w:rsidRDefault="00A30253" w:rsidP="00C01DD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2083D7" w14:textId="77777777" w:rsidR="002863AA" w:rsidRDefault="002863AA" w:rsidP="002A1FBC">
      <w:r>
        <w:separator/>
      </w:r>
    </w:p>
    <w:p w14:paraId="5E6E99F5" w14:textId="77777777" w:rsidR="002863AA" w:rsidRDefault="002863AA"/>
  </w:footnote>
  <w:footnote w:type="continuationSeparator" w:id="0">
    <w:p w14:paraId="4CFD22C0" w14:textId="77777777" w:rsidR="002863AA" w:rsidRDefault="002863AA" w:rsidP="002A1FBC">
      <w:r>
        <w:continuationSeparator/>
      </w:r>
    </w:p>
    <w:p w14:paraId="262AEFC6" w14:textId="77777777" w:rsidR="002863AA" w:rsidRDefault="002863AA"/>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DF227C" w14:textId="77777777" w:rsidR="000F7EE1" w:rsidRDefault="000F7EE1"/>
  <w:p w14:paraId="0D3AEA28" w14:textId="77777777" w:rsidR="00A30253" w:rsidRDefault="00A3025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85" w:type="dxa"/>
        <w:bottom w:w="28" w:type="dxa"/>
        <w:right w:w="85" w:type="dxa"/>
      </w:tblCellMar>
      <w:tblLook w:val="04A0" w:firstRow="1" w:lastRow="0" w:firstColumn="1" w:lastColumn="0" w:noHBand="0" w:noVBand="1"/>
    </w:tblPr>
    <w:tblGrid>
      <w:gridCol w:w="3539"/>
      <w:gridCol w:w="992"/>
      <w:gridCol w:w="3189"/>
      <w:gridCol w:w="1630"/>
    </w:tblGrid>
    <w:tr w:rsidR="00C01DD7" w14:paraId="6C477D0E" w14:textId="77777777" w:rsidTr="007277CF">
      <w:trPr>
        <w:trHeight w:val="737"/>
      </w:trPr>
      <w:tc>
        <w:tcPr>
          <w:tcW w:w="3539" w:type="dxa"/>
          <w:vMerge w:val="restart"/>
        </w:tcPr>
        <w:p w14:paraId="31CB656E" w14:textId="77777777" w:rsidR="00C01DD7" w:rsidRDefault="00C01DD7" w:rsidP="00C01DD7">
          <w:r>
            <w:rPr>
              <w:noProof/>
              <w:lang w:eastAsia="fr-CA"/>
            </w:rPr>
            <w:drawing>
              <wp:anchor distT="0" distB="0" distL="114300" distR="114300" simplePos="0" relativeHeight="251659264" behindDoc="1" locked="0" layoutInCell="1" allowOverlap="1" wp14:anchorId="2A380B76" wp14:editId="431C87EE">
                <wp:simplePos x="0" y="0"/>
                <wp:positionH relativeFrom="column">
                  <wp:posOffset>-9194</wp:posOffset>
                </wp:positionH>
                <wp:positionV relativeFrom="paragraph">
                  <wp:posOffset>67945</wp:posOffset>
                </wp:positionV>
                <wp:extent cx="2154803" cy="823704"/>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pq_couleur_g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4803" cy="823704"/>
                        </a:xfrm>
                        <a:prstGeom prst="rect">
                          <a:avLst/>
                        </a:prstGeom>
                      </pic:spPr>
                    </pic:pic>
                  </a:graphicData>
                </a:graphic>
                <wp14:sizeRelH relativeFrom="page">
                  <wp14:pctWidth>0</wp14:pctWidth>
                </wp14:sizeRelH>
                <wp14:sizeRelV relativeFrom="page">
                  <wp14:pctHeight>0</wp14:pctHeight>
                </wp14:sizeRelV>
              </wp:anchor>
            </w:drawing>
          </w:r>
        </w:p>
      </w:tc>
      <w:tc>
        <w:tcPr>
          <w:tcW w:w="5811" w:type="dxa"/>
          <w:gridSpan w:val="3"/>
          <w:vAlign w:val="center"/>
        </w:tcPr>
        <w:p w14:paraId="62FF03F3" w14:textId="77777777" w:rsidR="00C01DD7" w:rsidRPr="004A4589" w:rsidRDefault="00C01DD7" w:rsidP="00C01DD7">
          <w:pPr>
            <w:rPr>
              <w:b/>
            </w:rPr>
          </w:pPr>
          <w:r w:rsidRPr="004A4589">
            <w:rPr>
              <w:rFonts w:cs="Arial"/>
              <w:b/>
            </w:rPr>
            <w:t>PROCÉDURE OPÉRATIONNELLE NORMALISÉE</w:t>
          </w:r>
          <w:r>
            <w:rPr>
              <w:rFonts w:cs="Arial"/>
              <w:b/>
            </w:rPr>
            <w:t xml:space="preserve"> (PON)</w:t>
          </w:r>
        </w:p>
      </w:tc>
    </w:tr>
    <w:tr w:rsidR="00C01DD7" w14:paraId="27E2483D" w14:textId="77777777" w:rsidTr="007277CF">
      <w:trPr>
        <w:trHeight w:val="737"/>
      </w:trPr>
      <w:tc>
        <w:tcPr>
          <w:tcW w:w="3539" w:type="dxa"/>
          <w:vMerge/>
        </w:tcPr>
        <w:p w14:paraId="0D9584FD" w14:textId="77777777" w:rsidR="00C01DD7" w:rsidRDefault="00C01DD7" w:rsidP="00C01DD7">
          <w:pPr>
            <w:rPr>
              <w:noProof/>
              <w:lang w:eastAsia="fr-CA"/>
            </w:rPr>
          </w:pPr>
        </w:p>
      </w:tc>
      <w:tc>
        <w:tcPr>
          <w:tcW w:w="992" w:type="dxa"/>
          <w:vAlign w:val="center"/>
        </w:tcPr>
        <w:p w14:paraId="3C1B9DF9" w14:textId="77777777" w:rsidR="00C01DD7" w:rsidRPr="001558A3" w:rsidRDefault="00C01DD7" w:rsidP="00C01DD7">
          <w:pPr>
            <w:rPr>
              <w:rFonts w:cs="Arial"/>
            </w:rPr>
          </w:pPr>
          <w:r>
            <w:rPr>
              <w:rFonts w:cs="Arial"/>
            </w:rPr>
            <w:t>Secteur :</w:t>
          </w:r>
        </w:p>
      </w:tc>
      <w:tc>
        <w:tcPr>
          <w:tcW w:w="4819" w:type="dxa"/>
          <w:gridSpan w:val="2"/>
          <w:vAlign w:val="center"/>
        </w:tcPr>
        <w:p w14:paraId="0A883EEA" w14:textId="77777777" w:rsidR="00C01DD7" w:rsidRPr="001558A3" w:rsidRDefault="00C01DD7" w:rsidP="00C01DD7">
          <w:pPr>
            <w:rPr>
              <w:rFonts w:cs="Arial"/>
            </w:rPr>
          </w:pPr>
          <w:r>
            <w:rPr>
              <w:rFonts w:cs="Arial"/>
            </w:rPr>
            <w:t>Mycologie</w:t>
          </w:r>
        </w:p>
      </w:tc>
    </w:tr>
    <w:tr w:rsidR="00C01DD7" w14:paraId="390C29F1" w14:textId="77777777" w:rsidTr="007277CF">
      <w:trPr>
        <w:trHeight w:val="794"/>
      </w:trPr>
      <w:tc>
        <w:tcPr>
          <w:tcW w:w="7720" w:type="dxa"/>
          <w:gridSpan w:val="3"/>
          <w:vAlign w:val="center"/>
        </w:tcPr>
        <w:p w14:paraId="2EFA0C9A" w14:textId="77777777" w:rsidR="00C01DD7" w:rsidRDefault="00C01DD7" w:rsidP="00C01DD7">
          <w:pPr>
            <w:ind w:left="720"/>
          </w:pPr>
          <w:r w:rsidRPr="003C0224">
            <w:rPr>
              <w:rFonts w:cs="Arial"/>
              <w:b/>
              <w:color w:val="002060"/>
              <w:sz w:val="24"/>
            </w:rPr>
            <w:t>Préparation (extraction en tube et inactivation) des champignons filamenteux pour identification sur MALDI-TOF VITEK® MS</w:t>
          </w:r>
        </w:p>
      </w:tc>
      <w:tc>
        <w:tcPr>
          <w:tcW w:w="1630" w:type="dxa"/>
          <w:vAlign w:val="center"/>
        </w:tcPr>
        <w:p w14:paraId="49C22B83" w14:textId="596C375A" w:rsidR="00C01DD7" w:rsidRDefault="00C01DD7" w:rsidP="00C01DD7">
          <w:pPr>
            <w:jc w:val="center"/>
          </w:pPr>
          <w:r w:rsidRPr="002A1FBC">
            <w:rPr>
              <w:rFonts w:cs="Arial"/>
            </w:rPr>
            <w:t xml:space="preserve">VERSION </w:t>
          </w:r>
          <w:r w:rsidR="000A56D8">
            <w:rPr>
              <w:rFonts w:cs="Arial"/>
            </w:rPr>
            <w:t>2.1</w:t>
          </w:r>
          <w:r w:rsidRPr="002A1FBC">
            <w:rPr>
              <w:rFonts w:cs="Arial"/>
            </w:rPr>
            <w:t xml:space="preserve"> </w:t>
          </w:r>
          <w:r w:rsidRPr="002A1FBC">
            <w:rPr>
              <w:rFonts w:cs="Arial"/>
            </w:rPr>
            <w:br/>
          </w:r>
          <w:r w:rsidR="000A56D8">
            <w:rPr>
              <w:rFonts w:cs="Arial"/>
              <w:color w:val="FF0000"/>
              <w:szCs w:val="18"/>
            </w:rPr>
            <w:t>2019-11-22</w:t>
          </w:r>
        </w:p>
      </w:tc>
    </w:tr>
  </w:tbl>
  <w:p w14:paraId="22B1C4DD" w14:textId="77777777" w:rsidR="00C01DD7" w:rsidRDefault="00C01DD7"/>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6FF2E" w14:textId="15A037C0" w:rsidR="009F3B88" w:rsidRPr="009F3B88" w:rsidRDefault="009F3B88" w:rsidP="009F3B88">
    <w:pPr>
      <w:jc w:val="right"/>
      <w:rPr>
        <w:b/>
        <w:noProof/>
        <w:lang w:eastAsia="fr-CA"/>
      </w:rPr>
    </w:pPr>
    <w:r w:rsidRPr="00467787">
      <w:rPr>
        <w:b/>
        <w:noProof/>
        <w:sz w:val="16"/>
        <w:lang w:eastAsia="fr-CA"/>
      </w:rPr>
      <w:drawing>
        <wp:anchor distT="0" distB="0" distL="114300" distR="114300" simplePos="0" relativeHeight="251661312" behindDoc="1" locked="0" layoutInCell="1" allowOverlap="1" wp14:anchorId="38979C0A" wp14:editId="2B49F8A9">
          <wp:simplePos x="0" y="0"/>
          <wp:positionH relativeFrom="margin">
            <wp:align>left</wp:align>
          </wp:positionH>
          <wp:positionV relativeFrom="paragraph">
            <wp:posOffset>-149363</wp:posOffset>
          </wp:positionV>
          <wp:extent cx="1860605" cy="711242"/>
          <wp:effectExtent l="0" t="0" r="6350" b="0"/>
          <wp:wrapNone/>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spq_couleur_gra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60605" cy="711242"/>
                  </a:xfrm>
                  <a:prstGeom prst="rect">
                    <a:avLst/>
                  </a:prstGeom>
                </pic:spPr>
              </pic:pic>
            </a:graphicData>
          </a:graphic>
          <wp14:sizeRelH relativeFrom="page">
            <wp14:pctWidth>0</wp14:pctWidth>
          </wp14:sizeRelH>
          <wp14:sizeRelV relativeFrom="page">
            <wp14:pctHeight>0</wp14:pctHeight>
          </wp14:sizeRelV>
        </wp:anchor>
      </w:drawing>
    </w:r>
    <w:r w:rsidRPr="00467787">
      <w:rPr>
        <w:b/>
        <w:noProof/>
        <w:sz w:val="16"/>
        <w:lang w:eastAsia="fr-CA"/>
      </w:rPr>
      <w:t xml:space="preserve">PON - Préparation des champignons filamenteux pour </w:t>
    </w:r>
    <w:r w:rsidR="00467787">
      <w:rPr>
        <w:b/>
        <w:noProof/>
        <w:sz w:val="16"/>
        <w:lang w:eastAsia="fr-CA"/>
      </w:rPr>
      <w:br/>
    </w:r>
    <w:r w:rsidRPr="00467787">
      <w:rPr>
        <w:b/>
        <w:noProof/>
        <w:sz w:val="16"/>
        <w:lang w:eastAsia="fr-CA"/>
      </w:rPr>
      <w:t>identification sur MALDI-TOF VITEK® MS</w:t>
    </w:r>
    <w:r w:rsidR="00320AE7">
      <w:rPr>
        <w:b/>
        <w:noProof/>
        <w:sz w:val="16"/>
        <w:lang w:eastAsia="fr-CA"/>
      </w:rPr>
      <w:t xml:space="preserve"> (version 2.0)</w:t>
    </w:r>
  </w:p>
  <w:p w14:paraId="08386D8B" w14:textId="77777777" w:rsidR="009F3B88" w:rsidRDefault="009F3B88">
    <w:pPr>
      <w:rPr>
        <w:noProof/>
        <w:lang w:eastAsia="fr-CA"/>
      </w:rPr>
    </w:pPr>
  </w:p>
  <w:p w14:paraId="77CF1B33" w14:textId="77777777" w:rsidR="009F3B88" w:rsidRDefault="009F3B88"/>
  <w:p w14:paraId="5F536C16" w14:textId="77777777" w:rsidR="00467787" w:rsidRDefault="0046778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206F77"/>
    <w:multiLevelType w:val="hybridMultilevel"/>
    <w:tmpl w:val="13C8535A"/>
    <w:lvl w:ilvl="0" w:tplc="1032ABEC">
      <w:start w:val="1"/>
      <w:numFmt w:val="decimal"/>
      <w:lvlText w:val="%1)"/>
      <w:lvlJc w:val="left"/>
      <w:pPr>
        <w:ind w:left="720" w:hanging="360"/>
      </w:pPr>
      <w:rPr>
        <w:b w:val="0"/>
        <w:sz w:val="20"/>
        <w:szCs w:val="20"/>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 w15:restartNumberingAfterBreak="0">
    <w:nsid w:val="0C1F42A8"/>
    <w:multiLevelType w:val="multilevel"/>
    <w:tmpl w:val="2DF8063E"/>
    <w:lvl w:ilvl="0">
      <w:start w:val="1"/>
      <w:numFmt w:val="decimal"/>
      <w:pStyle w:val="Titre1"/>
      <w:lvlText w:val="%1"/>
      <w:lvlJc w:val="left"/>
      <w:pPr>
        <w:tabs>
          <w:tab w:val="num" w:pos="709"/>
        </w:tabs>
        <w:ind w:left="709" w:hanging="709"/>
      </w:pPr>
      <w:rPr>
        <w:rFonts w:ascii="Arial" w:hAnsi="Arial" w:cs="Arial" w:hint="default"/>
        <w:b/>
        <w:i w:val="0"/>
        <w:color w:val="auto"/>
        <w:sz w:val="28"/>
        <w:szCs w:val="28"/>
      </w:rPr>
    </w:lvl>
    <w:lvl w:ilvl="1">
      <w:start w:val="1"/>
      <w:numFmt w:val="decimal"/>
      <w:pStyle w:val="Titre2"/>
      <w:lvlText w:val="%1.%2"/>
      <w:lvlJc w:val="left"/>
      <w:pPr>
        <w:tabs>
          <w:tab w:val="num" w:pos="709"/>
        </w:tabs>
        <w:ind w:left="709" w:hanging="709"/>
      </w:pPr>
      <w:rPr>
        <w:rFonts w:ascii="Arial" w:hAnsi="Arial" w:cs="Arial" w:hint="default"/>
        <w:b/>
        <w:i w:val="0"/>
        <w:color w:val="auto"/>
        <w:sz w:val="24"/>
      </w:rPr>
    </w:lvl>
    <w:lvl w:ilvl="2">
      <w:start w:val="1"/>
      <w:numFmt w:val="decimal"/>
      <w:pStyle w:val="Titre3"/>
      <w:lvlText w:val="%1.%2.%3"/>
      <w:lvlJc w:val="left"/>
      <w:pPr>
        <w:ind w:left="709" w:hanging="709"/>
      </w:pPr>
      <w:rPr>
        <w:rFonts w:ascii="Arial" w:hAnsi="Arial" w:cs="Arial" w:hint="default"/>
        <w:b/>
        <w:i w:val="0"/>
        <w:caps w:val="0"/>
        <w:sz w:val="2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CB477C0"/>
    <w:multiLevelType w:val="hybridMultilevel"/>
    <w:tmpl w:val="8844354C"/>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15:restartNumberingAfterBreak="0">
    <w:nsid w:val="0EC96891"/>
    <w:multiLevelType w:val="hybridMultilevel"/>
    <w:tmpl w:val="A5706106"/>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03159FC"/>
    <w:multiLevelType w:val="hybridMultilevel"/>
    <w:tmpl w:val="0276E202"/>
    <w:lvl w:ilvl="0" w:tplc="CE4256F8">
      <w:numFmt w:val="bullet"/>
      <w:lvlText w:val=""/>
      <w:lvlJc w:val="left"/>
      <w:pPr>
        <w:ind w:left="2831" w:hanging="540"/>
      </w:pPr>
      <w:rPr>
        <w:rFonts w:ascii="Symbol" w:eastAsia="Times New Roman" w:hAnsi="Symbol" w:cs="Arial" w:hint="default"/>
      </w:rPr>
    </w:lvl>
    <w:lvl w:ilvl="1" w:tplc="0C0C0003" w:tentative="1">
      <w:start w:val="1"/>
      <w:numFmt w:val="bullet"/>
      <w:lvlText w:val="o"/>
      <w:lvlJc w:val="left"/>
      <w:pPr>
        <w:ind w:left="3371" w:hanging="360"/>
      </w:pPr>
      <w:rPr>
        <w:rFonts w:ascii="Courier New" w:hAnsi="Courier New" w:cs="Courier New" w:hint="default"/>
      </w:rPr>
    </w:lvl>
    <w:lvl w:ilvl="2" w:tplc="0C0C0005">
      <w:start w:val="1"/>
      <w:numFmt w:val="bullet"/>
      <w:lvlText w:val=""/>
      <w:lvlJc w:val="left"/>
      <w:pPr>
        <w:ind w:left="4091" w:hanging="360"/>
      </w:pPr>
      <w:rPr>
        <w:rFonts w:ascii="Wingdings" w:hAnsi="Wingdings" w:hint="default"/>
      </w:rPr>
    </w:lvl>
    <w:lvl w:ilvl="3" w:tplc="0C0C0001" w:tentative="1">
      <w:start w:val="1"/>
      <w:numFmt w:val="bullet"/>
      <w:lvlText w:val=""/>
      <w:lvlJc w:val="left"/>
      <w:pPr>
        <w:ind w:left="4811" w:hanging="360"/>
      </w:pPr>
      <w:rPr>
        <w:rFonts w:ascii="Symbol" w:hAnsi="Symbol" w:hint="default"/>
      </w:rPr>
    </w:lvl>
    <w:lvl w:ilvl="4" w:tplc="0C0C0003" w:tentative="1">
      <w:start w:val="1"/>
      <w:numFmt w:val="bullet"/>
      <w:lvlText w:val="o"/>
      <w:lvlJc w:val="left"/>
      <w:pPr>
        <w:ind w:left="5531" w:hanging="360"/>
      </w:pPr>
      <w:rPr>
        <w:rFonts w:ascii="Courier New" w:hAnsi="Courier New" w:cs="Courier New" w:hint="default"/>
      </w:rPr>
    </w:lvl>
    <w:lvl w:ilvl="5" w:tplc="0C0C0005" w:tentative="1">
      <w:start w:val="1"/>
      <w:numFmt w:val="bullet"/>
      <w:lvlText w:val=""/>
      <w:lvlJc w:val="left"/>
      <w:pPr>
        <w:ind w:left="6251" w:hanging="360"/>
      </w:pPr>
      <w:rPr>
        <w:rFonts w:ascii="Wingdings" w:hAnsi="Wingdings" w:hint="default"/>
      </w:rPr>
    </w:lvl>
    <w:lvl w:ilvl="6" w:tplc="0C0C0001" w:tentative="1">
      <w:start w:val="1"/>
      <w:numFmt w:val="bullet"/>
      <w:lvlText w:val=""/>
      <w:lvlJc w:val="left"/>
      <w:pPr>
        <w:ind w:left="6971" w:hanging="360"/>
      </w:pPr>
      <w:rPr>
        <w:rFonts w:ascii="Symbol" w:hAnsi="Symbol" w:hint="default"/>
      </w:rPr>
    </w:lvl>
    <w:lvl w:ilvl="7" w:tplc="0C0C0003" w:tentative="1">
      <w:start w:val="1"/>
      <w:numFmt w:val="bullet"/>
      <w:lvlText w:val="o"/>
      <w:lvlJc w:val="left"/>
      <w:pPr>
        <w:ind w:left="7691" w:hanging="360"/>
      </w:pPr>
      <w:rPr>
        <w:rFonts w:ascii="Courier New" w:hAnsi="Courier New" w:cs="Courier New" w:hint="default"/>
      </w:rPr>
    </w:lvl>
    <w:lvl w:ilvl="8" w:tplc="0C0C0005" w:tentative="1">
      <w:start w:val="1"/>
      <w:numFmt w:val="bullet"/>
      <w:lvlText w:val=""/>
      <w:lvlJc w:val="left"/>
      <w:pPr>
        <w:ind w:left="8411" w:hanging="360"/>
      </w:pPr>
      <w:rPr>
        <w:rFonts w:ascii="Wingdings" w:hAnsi="Wingdings" w:hint="default"/>
      </w:rPr>
    </w:lvl>
  </w:abstractNum>
  <w:abstractNum w:abstractNumId="5" w15:restartNumberingAfterBreak="0">
    <w:nsid w:val="10874D0A"/>
    <w:multiLevelType w:val="hybridMultilevel"/>
    <w:tmpl w:val="64A2FDE6"/>
    <w:lvl w:ilvl="0" w:tplc="199CC8AE">
      <w:start w:val="1"/>
      <w:numFmt w:val="decimal"/>
      <w:lvlText w:val="%1."/>
      <w:lvlJc w:val="left"/>
      <w:pPr>
        <w:ind w:left="1422" w:hanging="855"/>
      </w:pPr>
      <w:rPr>
        <w:rFonts w:hint="default"/>
        <w:sz w:val="22"/>
      </w:rPr>
    </w:lvl>
    <w:lvl w:ilvl="1" w:tplc="0C0C0019" w:tentative="1">
      <w:start w:val="1"/>
      <w:numFmt w:val="lowerLetter"/>
      <w:lvlText w:val="%2."/>
      <w:lvlJc w:val="left"/>
      <w:pPr>
        <w:ind w:left="1647" w:hanging="360"/>
      </w:pPr>
    </w:lvl>
    <w:lvl w:ilvl="2" w:tplc="0C0C001B" w:tentative="1">
      <w:start w:val="1"/>
      <w:numFmt w:val="lowerRoman"/>
      <w:lvlText w:val="%3."/>
      <w:lvlJc w:val="right"/>
      <w:pPr>
        <w:ind w:left="2367" w:hanging="180"/>
      </w:pPr>
    </w:lvl>
    <w:lvl w:ilvl="3" w:tplc="0C0C000F" w:tentative="1">
      <w:start w:val="1"/>
      <w:numFmt w:val="decimal"/>
      <w:lvlText w:val="%4."/>
      <w:lvlJc w:val="left"/>
      <w:pPr>
        <w:ind w:left="3087" w:hanging="360"/>
      </w:pPr>
    </w:lvl>
    <w:lvl w:ilvl="4" w:tplc="0C0C0019" w:tentative="1">
      <w:start w:val="1"/>
      <w:numFmt w:val="lowerLetter"/>
      <w:lvlText w:val="%5."/>
      <w:lvlJc w:val="left"/>
      <w:pPr>
        <w:ind w:left="3807" w:hanging="360"/>
      </w:pPr>
    </w:lvl>
    <w:lvl w:ilvl="5" w:tplc="0C0C001B" w:tentative="1">
      <w:start w:val="1"/>
      <w:numFmt w:val="lowerRoman"/>
      <w:lvlText w:val="%6."/>
      <w:lvlJc w:val="right"/>
      <w:pPr>
        <w:ind w:left="4527" w:hanging="180"/>
      </w:pPr>
    </w:lvl>
    <w:lvl w:ilvl="6" w:tplc="0C0C000F" w:tentative="1">
      <w:start w:val="1"/>
      <w:numFmt w:val="decimal"/>
      <w:lvlText w:val="%7."/>
      <w:lvlJc w:val="left"/>
      <w:pPr>
        <w:ind w:left="5247" w:hanging="360"/>
      </w:pPr>
    </w:lvl>
    <w:lvl w:ilvl="7" w:tplc="0C0C0019" w:tentative="1">
      <w:start w:val="1"/>
      <w:numFmt w:val="lowerLetter"/>
      <w:lvlText w:val="%8."/>
      <w:lvlJc w:val="left"/>
      <w:pPr>
        <w:ind w:left="5967" w:hanging="360"/>
      </w:pPr>
    </w:lvl>
    <w:lvl w:ilvl="8" w:tplc="0C0C001B" w:tentative="1">
      <w:start w:val="1"/>
      <w:numFmt w:val="lowerRoman"/>
      <w:lvlText w:val="%9."/>
      <w:lvlJc w:val="right"/>
      <w:pPr>
        <w:ind w:left="6687" w:hanging="180"/>
      </w:pPr>
    </w:lvl>
  </w:abstractNum>
  <w:abstractNum w:abstractNumId="6" w15:restartNumberingAfterBreak="0">
    <w:nsid w:val="145F2EE9"/>
    <w:multiLevelType w:val="hybridMultilevel"/>
    <w:tmpl w:val="AAA866B4"/>
    <w:lvl w:ilvl="0" w:tplc="3CC828A8">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1BE67E97"/>
    <w:multiLevelType w:val="hybridMultilevel"/>
    <w:tmpl w:val="8CA036BA"/>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hint="default"/>
      </w:rPr>
    </w:lvl>
    <w:lvl w:ilvl="2" w:tplc="040C0005">
      <w:start w:val="1"/>
      <w:numFmt w:val="bullet"/>
      <w:lvlText w:val=""/>
      <w:lvlJc w:val="left"/>
      <w:pPr>
        <w:ind w:left="2880" w:hanging="360"/>
      </w:pPr>
      <w:rPr>
        <w:rFonts w:ascii="Wingdings" w:hAnsi="Wingdings" w:hint="default"/>
      </w:rPr>
    </w:lvl>
    <w:lvl w:ilvl="3" w:tplc="040C0001">
      <w:start w:val="1"/>
      <w:numFmt w:val="bullet"/>
      <w:lvlText w:val=""/>
      <w:lvlJc w:val="left"/>
      <w:pPr>
        <w:ind w:left="3600" w:hanging="360"/>
      </w:pPr>
      <w:rPr>
        <w:rFonts w:ascii="Symbol" w:hAnsi="Symbol" w:hint="default"/>
      </w:rPr>
    </w:lvl>
    <w:lvl w:ilvl="4" w:tplc="040C0003">
      <w:start w:val="1"/>
      <w:numFmt w:val="bullet"/>
      <w:lvlText w:val="o"/>
      <w:lvlJc w:val="left"/>
      <w:pPr>
        <w:ind w:left="4320" w:hanging="360"/>
      </w:pPr>
      <w:rPr>
        <w:rFonts w:ascii="Courier New" w:hAnsi="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8" w15:restartNumberingAfterBreak="0">
    <w:nsid w:val="23CC0CC0"/>
    <w:multiLevelType w:val="multilevel"/>
    <w:tmpl w:val="7A80F572"/>
    <w:lvl w:ilvl="0">
      <w:start w:val="1"/>
      <w:numFmt w:val="decimal"/>
      <w:lvlText w:val="%1."/>
      <w:lvlJc w:val="left"/>
      <w:pPr>
        <w:ind w:left="360" w:hanging="360"/>
      </w:pPr>
      <w:rPr>
        <w:rFonts w:ascii="Arial Gras" w:hAnsi="Arial Gras"/>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491"/>
      </w:pPr>
      <w:rPr>
        <w:rFonts w:ascii="Arial Gras" w:hAnsi="Arial Gras"/>
        <w:b/>
        <w:bCs/>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74" w:hanging="623"/>
      </w:pPr>
      <w:rPr>
        <w:rFonts w:ascii="Arial" w:hAnsi="Arial"/>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51A0927"/>
    <w:multiLevelType w:val="hybridMultilevel"/>
    <w:tmpl w:val="B59245D8"/>
    <w:lvl w:ilvl="0" w:tplc="0C0C0003">
      <w:start w:val="1"/>
      <w:numFmt w:val="bullet"/>
      <w:lvlText w:val="o"/>
      <w:lvlJc w:val="left"/>
      <w:pPr>
        <w:ind w:left="1931"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7B741A9"/>
    <w:multiLevelType w:val="hybridMultilevel"/>
    <w:tmpl w:val="A5E4C604"/>
    <w:lvl w:ilvl="0" w:tplc="1CBA60EE">
      <w:start w:val="1"/>
      <w:numFmt w:val="decimal"/>
      <w:pStyle w:val="Annexes"/>
      <w:lvlText w:val="Annexe %1"/>
      <w:lvlJc w:val="left"/>
      <w:pPr>
        <w:ind w:left="360" w:hanging="360"/>
      </w:pPr>
      <w:rPr>
        <w:rFonts w:ascii="Arial" w:hAnsi="Arial" w:cs="Arial" w:hint="default"/>
        <w:b/>
        <w:sz w:val="28"/>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15:restartNumberingAfterBreak="0">
    <w:nsid w:val="28DF3C3B"/>
    <w:multiLevelType w:val="hybridMultilevel"/>
    <w:tmpl w:val="26748032"/>
    <w:lvl w:ilvl="0" w:tplc="A39042D4">
      <w:start w:val="1"/>
      <w:numFmt w:val="bullet"/>
      <w:pStyle w:val="Puce2"/>
      <w:lvlText w:val=""/>
      <w:lvlJc w:val="left"/>
      <w:pPr>
        <w:ind w:left="720" w:hanging="360"/>
      </w:pPr>
      <w:rPr>
        <w:rFonts w:ascii="Wingdings" w:hAnsi="Wingdings" w:hint="default"/>
        <w:color w:val="auto"/>
        <w:sz w:val="22"/>
        <w:u w:color="70AD47" w:themeColor="accent6"/>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C591EED"/>
    <w:multiLevelType w:val="hybridMultilevel"/>
    <w:tmpl w:val="603EADC8"/>
    <w:lvl w:ilvl="0" w:tplc="FC7E0A34">
      <w:numFmt w:val="bullet"/>
      <w:lvlText w:val="-"/>
      <w:lvlJc w:val="left"/>
      <w:pPr>
        <w:ind w:left="1211" w:hanging="360"/>
      </w:pPr>
      <w:rPr>
        <w:rFonts w:ascii="Arial" w:eastAsia="Times New Roman" w:hAnsi="Arial" w:cs="Arial" w:hint="default"/>
      </w:rPr>
    </w:lvl>
    <w:lvl w:ilvl="1" w:tplc="0C0C0003" w:tentative="1">
      <w:start w:val="1"/>
      <w:numFmt w:val="bullet"/>
      <w:lvlText w:val="o"/>
      <w:lvlJc w:val="left"/>
      <w:pPr>
        <w:ind w:left="1931" w:hanging="360"/>
      </w:pPr>
      <w:rPr>
        <w:rFonts w:ascii="Courier New" w:hAnsi="Courier New" w:cs="Courier New" w:hint="default"/>
      </w:rPr>
    </w:lvl>
    <w:lvl w:ilvl="2" w:tplc="0C0C0005" w:tentative="1">
      <w:start w:val="1"/>
      <w:numFmt w:val="bullet"/>
      <w:lvlText w:val=""/>
      <w:lvlJc w:val="left"/>
      <w:pPr>
        <w:ind w:left="2651" w:hanging="360"/>
      </w:pPr>
      <w:rPr>
        <w:rFonts w:ascii="Wingdings" w:hAnsi="Wingdings" w:hint="default"/>
      </w:rPr>
    </w:lvl>
    <w:lvl w:ilvl="3" w:tplc="0C0C0001" w:tentative="1">
      <w:start w:val="1"/>
      <w:numFmt w:val="bullet"/>
      <w:lvlText w:val=""/>
      <w:lvlJc w:val="left"/>
      <w:pPr>
        <w:ind w:left="3371" w:hanging="360"/>
      </w:pPr>
      <w:rPr>
        <w:rFonts w:ascii="Symbol" w:hAnsi="Symbol" w:hint="default"/>
      </w:rPr>
    </w:lvl>
    <w:lvl w:ilvl="4" w:tplc="0C0C0003" w:tentative="1">
      <w:start w:val="1"/>
      <w:numFmt w:val="bullet"/>
      <w:lvlText w:val="o"/>
      <w:lvlJc w:val="left"/>
      <w:pPr>
        <w:ind w:left="4091" w:hanging="360"/>
      </w:pPr>
      <w:rPr>
        <w:rFonts w:ascii="Courier New" w:hAnsi="Courier New" w:cs="Courier New" w:hint="default"/>
      </w:rPr>
    </w:lvl>
    <w:lvl w:ilvl="5" w:tplc="0C0C0005" w:tentative="1">
      <w:start w:val="1"/>
      <w:numFmt w:val="bullet"/>
      <w:lvlText w:val=""/>
      <w:lvlJc w:val="left"/>
      <w:pPr>
        <w:ind w:left="4811" w:hanging="360"/>
      </w:pPr>
      <w:rPr>
        <w:rFonts w:ascii="Wingdings" w:hAnsi="Wingdings" w:hint="default"/>
      </w:rPr>
    </w:lvl>
    <w:lvl w:ilvl="6" w:tplc="0C0C0001" w:tentative="1">
      <w:start w:val="1"/>
      <w:numFmt w:val="bullet"/>
      <w:lvlText w:val=""/>
      <w:lvlJc w:val="left"/>
      <w:pPr>
        <w:ind w:left="5531" w:hanging="360"/>
      </w:pPr>
      <w:rPr>
        <w:rFonts w:ascii="Symbol" w:hAnsi="Symbol" w:hint="default"/>
      </w:rPr>
    </w:lvl>
    <w:lvl w:ilvl="7" w:tplc="0C0C0003" w:tentative="1">
      <w:start w:val="1"/>
      <w:numFmt w:val="bullet"/>
      <w:lvlText w:val="o"/>
      <w:lvlJc w:val="left"/>
      <w:pPr>
        <w:ind w:left="6251" w:hanging="360"/>
      </w:pPr>
      <w:rPr>
        <w:rFonts w:ascii="Courier New" w:hAnsi="Courier New" w:cs="Courier New" w:hint="default"/>
      </w:rPr>
    </w:lvl>
    <w:lvl w:ilvl="8" w:tplc="0C0C0005" w:tentative="1">
      <w:start w:val="1"/>
      <w:numFmt w:val="bullet"/>
      <w:lvlText w:val=""/>
      <w:lvlJc w:val="left"/>
      <w:pPr>
        <w:ind w:left="6971" w:hanging="360"/>
      </w:pPr>
      <w:rPr>
        <w:rFonts w:ascii="Wingdings" w:hAnsi="Wingdings" w:hint="default"/>
      </w:rPr>
    </w:lvl>
  </w:abstractNum>
  <w:abstractNum w:abstractNumId="13" w15:restartNumberingAfterBreak="0">
    <w:nsid w:val="2E884D2A"/>
    <w:multiLevelType w:val="hybridMultilevel"/>
    <w:tmpl w:val="058C2B9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0101313"/>
    <w:multiLevelType w:val="hybridMultilevel"/>
    <w:tmpl w:val="FDB0DD7A"/>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30D35266"/>
    <w:multiLevelType w:val="hybridMultilevel"/>
    <w:tmpl w:val="9A4E0BFA"/>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6" w15:restartNumberingAfterBreak="0">
    <w:nsid w:val="36D00B29"/>
    <w:multiLevelType w:val="hybridMultilevel"/>
    <w:tmpl w:val="A10A720C"/>
    <w:lvl w:ilvl="0" w:tplc="0C0C0011">
      <w:start w:val="1"/>
      <w:numFmt w:val="decimal"/>
      <w:lvlText w:val="%1)"/>
      <w:lvlJc w:val="left"/>
      <w:pPr>
        <w:ind w:left="720" w:hanging="360"/>
      </w:pPr>
      <w:rPr>
        <w:rFonts w:hint="default"/>
        <w:color w:val="auto"/>
        <w:sz w:val="18"/>
        <w:u w:color="70AD47" w:themeColor="accent6"/>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17" w15:restartNumberingAfterBreak="0">
    <w:nsid w:val="3D0950F7"/>
    <w:multiLevelType w:val="hybridMultilevel"/>
    <w:tmpl w:val="A62A49C2"/>
    <w:lvl w:ilvl="0" w:tplc="0C0C0019">
      <w:start w:val="1"/>
      <w:numFmt w:val="lowerLetter"/>
      <w:lvlText w:val="%1."/>
      <w:lvlJc w:val="left"/>
      <w:pPr>
        <w:ind w:left="1070" w:hanging="360"/>
      </w:pPr>
    </w:lvl>
    <w:lvl w:ilvl="1" w:tplc="0C0C0019" w:tentative="1">
      <w:start w:val="1"/>
      <w:numFmt w:val="lowerLetter"/>
      <w:lvlText w:val="%2."/>
      <w:lvlJc w:val="left"/>
      <w:pPr>
        <w:ind w:left="1790" w:hanging="360"/>
      </w:pPr>
    </w:lvl>
    <w:lvl w:ilvl="2" w:tplc="0C0C001B" w:tentative="1">
      <w:start w:val="1"/>
      <w:numFmt w:val="lowerRoman"/>
      <w:lvlText w:val="%3."/>
      <w:lvlJc w:val="right"/>
      <w:pPr>
        <w:ind w:left="2510" w:hanging="180"/>
      </w:pPr>
    </w:lvl>
    <w:lvl w:ilvl="3" w:tplc="0C0C000F" w:tentative="1">
      <w:start w:val="1"/>
      <w:numFmt w:val="decimal"/>
      <w:lvlText w:val="%4."/>
      <w:lvlJc w:val="left"/>
      <w:pPr>
        <w:ind w:left="3230" w:hanging="360"/>
      </w:pPr>
    </w:lvl>
    <w:lvl w:ilvl="4" w:tplc="0C0C0019" w:tentative="1">
      <w:start w:val="1"/>
      <w:numFmt w:val="lowerLetter"/>
      <w:lvlText w:val="%5."/>
      <w:lvlJc w:val="left"/>
      <w:pPr>
        <w:ind w:left="3950" w:hanging="360"/>
      </w:pPr>
    </w:lvl>
    <w:lvl w:ilvl="5" w:tplc="0C0C001B" w:tentative="1">
      <w:start w:val="1"/>
      <w:numFmt w:val="lowerRoman"/>
      <w:lvlText w:val="%6."/>
      <w:lvlJc w:val="right"/>
      <w:pPr>
        <w:ind w:left="4670" w:hanging="180"/>
      </w:pPr>
    </w:lvl>
    <w:lvl w:ilvl="6" w:tplc="0C0C000F" w:tentative="1">
      <w:start w:val="1"/>
      <w:numFmt w:val="decimal"/>
      <w:lvlText w:val="%7."/>
      <w:lvlJc w:val="left"/>
      <w:pPr>
        <w:ind w:left="5390" w:hanging="360"/>
      </w:pPr>
    </w:lvl>
    <w:lvl w:ilvl="7" w:tplc="0C0C0019" w:tentative="1">
      <w:start w:val="1"/>
      <w:numFmt w:val="lowerLetter"/>
      <w:lvlText w:val="%8."/>
      <w:lvlJc w:val="left"/>
      <w:pPr>
        <w:ind w:left="6110" w:hanging="360"/>
      </w:pPr>
    </w:lvl>
    <w:lvl w:ilvl="8" w:tplc="0C0C001B" w:tentative="1">
      <w:start w:val="1"/>
      <w:numFmt w:val="lowerRoman"/>
      <w:lvlText w:val="%9."/>
      <w:lvlJc w:val="right"/>
      <w:pPr>
        <w:ind w:left="6830" w:hanging="180"/>
      </w:pPr>
    </w:lvl>
  </w:abstractNum>
  <w:abstractNum w:abstractNumId="18" w15:restartNumberingAfterBreak="0">
    <w:nsid w:val="3D785B64"/>
    <w:multiLevelType w:val="hybridMultilevel"/>
    <w:tmpl w:val="A9E8D430"/>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9" w15:restartNumberingAfterBreak="0">
    <w:nsid w:val="3F416F3E"/>
    <w:multiLevelType w:val="multilevel"/>
    <w:tmpl w:val="61E4E71A"/>
    <w:lvl w:ilvl="0">
      <w:start w:val="10"/>
      <w:numFmt w:val="decimal"/>
      <w:lvlText w:val="%1."/>
      <w:lvlJc w:val="left"/>
      <w:pPr>
        <w:tabs>
          <w:tab w:val="num" w:pos="360"/>
        </w:tabs>
        <w:ind w:left="360" w:hanging="360"/>
      </w:pPr>
      <w:rPr>
        <w:rFonts w:hint="default"/>
        <w:b/>
        <w:i w:val="0"/>
        <w:caps w:val="0"/>
        <w:strike w:val="0"/>
        <w:dstrike w:val="0"/>
        <w:vanish w:val="0"/>
        <w:color w:val="auto"/>
        <w:sz w:val="28"/>
        <w:vertAlign w:val="baseline"/>
      </w:rPr>
    </w:lvl>
    <w:lvl w:ilvl="1">
      <w:start w:val="1"/>
      <w:numFmt w:val="decimal"/>
      <w:pStyle w:val="Annexetitre1"/>
      <w:lvlText w:val="%2."/>
      <w:lvlJc w:val="left"/>
      <w:pPr>
        <w:tabs>
          <w:tab w:val="num" w:pos="792"/>
        </w:tabs>
        <w:ind w:left="792" w:hanging="432"/>
      </w:pPr>
      <w:rPr>
        <w:rFonts w:ascii="Arial" w:eastAsia="Calibri" w:hAnsi="Arial" w:cs="Arial"/>
        <w:sz w:val="28"/>
        <w:szCs w:val="28"/>
      </w:rPr>
    </w:lvl>
    <w:lvl w:ilvl="2">
      <w:start w:val="1"/>
      <w:numFmt w:val="decimal"/>
      <w:lvlText w:val="%1.%2.%3."/>
      <w:lvlJc w:val="left"/>
      <w:pPr>
        <w:tabs>
          <w:tab w:val="num" w:pos="1440"/>
        </w:tabs>
        <w:ind w:left="1224" w:hanging="504"/>
      </w:pPr>
      <w:rPr>
        <w:rFonts w:hint="default"/>
        <w:b w:val="0"/>
        <w:sz w:val="22"/>
      </w:rPr>
    </w:lvl>
    <w:lvl w:ilvl="3">
      <w:start w:val="1"/>
      <w:numFmt w:val="decimal"/>
      <w:lvlText w:val="%1.%2.%3.%4."/>
      <w:lvlJc w:val="left"/>
      <w:pPr>
        <w:tabs>
          <w:tab w:val="num" w:pos="2160"/>
        </w:tabs>
        <w:ind w:left="1728" w:hanging="648"/>
      </w:pPr>
      <w:rPr>
        <w:rFonts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15:restartNumberingAfterBreak="0">
    <w:nsid w:val="401A73EC"/>
    <w:multiLevelType w:val="multilevel"/>
    <w:tmpl w:val="12DA7B62"/>
    <w:lvl w:ilvl="0">
      <w:start w:val="1"/>
      <w:numFmt w:val="decimal"/>
      <w:lvlText w:val="%1."/>
      <w:lvlJc w:val="left"/>
      <w:pPr>
        <w:tabs>
          <w:tab w:val="num" w:pos="360"/>
        </w:tabs>
        <w:ind w:left="360" w:hanging="360"/>
      </w:pPr>
      <w:rPr>
        <w:rFonts w:hint="default"/>
        <w:b/>
        <w:i w:val="0"/>
        <w:caps w:val="0"/>
        <w:strike w:val="0"/>
        <w:dstrike w:val="0"/>
        <w:vanish w:val="0"/>
        <w:color w:val="auto"/>
        <w:sz w:val="28"/>
        <w:szCs w:val="28"/>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284" w:hanging="284"/>
      </w:pPr>
      <w:rPr>
        <w:rFonts w:hint="default"/>
        <w:b/>
        <w:sz w:val="22"/>
        <w:szCs w:val="22"/>
      </w:rPr>
    </w:lvl>
    <w:lvl w:ilvl="2">
      <w:start w:val="1"/>
      <w:numFmt w:val="bullet"/>
      <w:lvlText w:val=""/>
      <w:lvlJc w:val="left"/>
      <w:pPr>
        <w:tabs>
          <w:tab w:val="num" w:pos="1440"/>
        </w:tabs>
        <w:ind w:left="1224" w:hanging="504"/>
      </w:pPr>
      <w:rPr>
        <w:rFonts w:ascii="Wingdings" w:hAnsi="Wingdings" w:hint="default"/>
        <w:b w:val="0"/>
        <w:sz w:val="20"/>
        <w:szCs w:val="20"/>
      </w:rPr>
    </w:lvl>
    <w:lvl w:ilvl="3">
      <w:start w:val="1"/>
      <w:numFmt w:val="bullet"/>
      <w:lvlText w:val=""/>
      <w:lvlJc w:val="left"/>
      <w:pPr>
        <w:tabs>
          <w:tab w:val="num" w:pos="2160"/>
        </w:tabs>
        <w:ind w:left="1117" w:hanging="266"/>
      </w:pPr>
      <w:rPr>
        <w:rFonts w:ascii="Wingdings" w:hAnsi="Wingdings"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4E514E4C"/>
    <w:multiLevelType w:val="multilevel"/>
    <w:tmpl w:val="7A80F572"/>
    <w:lvl w:ilvl="0">
      <w:start w:val="1"/>
      <w:numFmt w:val="decimal"/>
      <w:lvlText w:val="%1."/>
      <w:lvlJc w:val="left"/>
      <w:pPr>
        <w:ind w:left="360" w:hanging="360"/>
      </w:pPr>
      <w:rPr>
        <w:rFonts w:ascii="Arial Gras" w:hAnsi="Arial Gras"/>
        <w:b/>
        <w:bCs/>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851" w:hanging="491"/>
      </w:pPr>
      <w:rPr>
        <w:rFonts w:ascii="Arial Gras" w:hAnsi="Arial Gras"/>
        <w:b/>
        <w:bCs/>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74" w:hanging="623"/>
      </w:pPr>
      <w:rPr>
        <w:rFonts w:ascii="Arial" w:hAnsi="Arial"/>
        <w:b w:val="0"/>
        <w:bCs w:val="0"/>
        <w:i w:val="0"/>
        <w:iCs w:val="0"/>
        <w:caps w:val="0"/>
        <w:smallCaps w:val="0"/>
        <w:strike w:val="0"/>
        <w:dstrike w:val="0"/>
        <w:outline w:val="0"/>
        <w:shadow w:val="0"/>
        <w:emboss w:val="0"/>
        <w:imprint w:val="0"/>
        <w:noProof w:val="0"/>
        <w:vanish w:val="0"/>
        <w:spacing w:val="0"/>
        <w:kern w:val="0"/>
        <w:position w:val="0"/>
        <w:sz w:val="2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0DE1174"/>
    <w:multiLevelType w:val="hybridMultilevel"/>
    <w:tmpl w:val="67EAFCBE"/>
    <w:lvl w:ilvl="0" w:tplc="0C0C0003" w:tentative="1">
      <w:start w:val="1"/>
      <w:numFmt w:val="bullet"/>
      <w:lvlText w:val="o"/>
      <w:lvlJc w:val="left"/>
      <w:pPr>
        <w:ind w:left="3000" w:hanging="360"/>
      </w:pPr>
      <w:rPr>
        <w:rFonts w:ascii="Courier New" w:hAnsi="Courier New" w:cs="Courier New" w:hint="default"/>
      </w:rPr>
    </w:lvl>
    <w:lvl w:ilvl="1" w:tplc="0C0C0003">
      <w:start w:val="1"/>
      <w:numFmt w:val="bullet"/>
      <w:lvlText w:val="o"/>
      <w:lvlJc w:val="left"/>
      <w:pPr>
        <w:ind w:left="2509" w:hanging="360"/>
      </w:pPr>
      <w:rPr>
        <w:rFonts w:ascii="Courier New" w:hAnsi="Courier New" w:cs="Courier New" w:hint="default"/>
      </w:rPr>
    </w:lvl>
    <w:lvl w:ilvl="2" w:tplc="0C0C0005" w:tentative="1">
      <w:start w:val="1"/>
      <w:numFmt w:val="bullet"/>
      <w:lvlText w:val=""/>
      <w:lvlJc w:val="left"/>
      <w:pPr>
        <w:ind w:left="3229" w:hanging="360"/>
      </w:pPr>
      <w:rPr>
        <w:rFonts w:ascii="Wingdings" w:hAnsi="Wingdings" w:hint="default"/>
      </w:rPr>
    </w:lvl>
    <w:lvl w:ilvl="3" w:tplc="0C0C0001" w:tentative="1">
      <w:start w:val="1"/>
      <w:numFmt w:val="bullet"/>
      <w:lvlText w:val=""/>
      <w:lvlJc w:val="left"/>
      <w:pPr>
        <w:ind w:left="3949" w:hanging="360"/>
      </w:pPr>
      <w:rPr>
        <w:rFonts w:ascii="Symbol" w:hAnsi="Symbol" w:hint="default"/>
      </w:rPr>
    </w:lvl>
    <w:lvl w:ilvl="4" w:tplc="0C0C0003" w:tentative="1">
      <w:start w:val="1"/>
      <w:numFmt w:val="bullet"/>
      <w:lvlText w:val="o"/>
      <w:lvlJc w:val="left"/>
      <w:pPr>
        <w:ind w:left="4669" w:hanging="360"/>
      </w:pPr>
      <w:rPr>
        <w:rFonts w:ascii="Courier New" w:hAnsi="Courier New" w:cs="Courier New" w:hint="default"/>
      </w:rPr>
    </w:lvl>
    <w:lvl w:ilvl="5" w:tplc="0C0C0005" w:tentative="1">
      <w:start w:val="1"/>
      <w:numFmt w:val="bullet"/>
      <w:lvlText w:val=""/>
      <w:lvlJc w:val="left"/>
      <w:pPr>
        <w:ind w:left="5389" w:hanging="360"/>
      </w:pPr>
      <w:rPr>
        <w:rFonts w:ascii="Wingdings" w:hAnsi="Wingdings" w:hint="default"/>
      </w:rPr>
    </w:lvl>
    <w:lvl w:ilvl="6" w:tplc="0C0C0001" w:tentative="1">
      <w:start w:val="1"/>
      <w:numFmt w:val="bullet"/>
      <w:lvlText w:val=""/>
      <w:lvlJc w:val="left"/>
      <w:pPr>
        <w:ind w:left="6109" w:hanging="360"/>
      </w:pPr>
      <w:rPr>
        <w:rFonts w:ascii="Symbol" w:hAnsi="Symbol" w:hint="default"/>
      </w:rPr>
    </w:lvl>
    <w:lvl w:ilvl="7" w:tplc="0C0C0003" w:tentative="1">
      <w:start w:val="1"/>
      <w:numFmt w:val="bullet"/>
      <w:lvlText w:val="o"/>
      <w:lvlJc w:val="left"/>
      <w:pPr>
        <w:ind w:left="6829" w:hanging="360"/>
      </w:pPr>
      <w:rPr>
        <w:rFonts w:ascii="Courier New" w:hAnsi="Courier New" w:cs="Courier New" w:hint="default"/>
      </w:rPr>
    </w:lvl>
    <w:lvl w:ilvl="8" w:tplc="0C0C0005" w:tentative="1">
      <w:start w:val="1"/>
      <w:numFmt w:val="bullet"/>
      <w:lvlText w:val=""/>
      <w:lvlJc w:val="left"/>
      <w:pPr>
        <w:ind w:left="7549" w:hanging="360"/>
      </w:pPr>
      <w:rPr>
        <w:rFonts w:ascii="Wingdings" w:hAnsi="Wingdings" w:hint="default"/>
      </w:rPr>
    </w:lvl>
  </w:abstractNum>
  <w:abstractNum w:abstractNumId="23" w15:restartNumberingAfterBreak="0">
    <w:nsid w:val="51EC0852"/>
    <w:multiLevelType w:val="hybridMultilevel"/>
    <w:tmpl w:val="BF6057CE"/>
    <w:lvl w:ilvl="0" w:tplc="D592D1B0">
      <w:start w:val="1"/>
      <w:numFmt w:val="bullet"/>
      <w:lvlText w:val=""/>
      <w:lvlJc w:val="left"/>
      <w:pPr>
        <w:ind w:left="1118" w:hanging="267"/>
      </w:pPr>
      <w:rPr>
        <w:rFonts w:ascii="Wingdings" w:hAnsi="Wingding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C0003">
      <w:start w:val="1"/>
      <w:numFmt w:val="bullet"/>
      <w:lvlText w:val="o"/>
      <w:lvlJc w:val="left"/>
      <w:pPr>
        <w:ind w:left="2425" w:hanging="360"/>
      </w:pPr>
      <w:rPr>
        <w:rFonts w:ascii="Courier New" w:hAnsi="Courier New" w:cs="Courier New" w:hint="default"/>
      </w:rPr>
    </w:lvl>
    <w:lvl w:ilvl="2" w:tplc="0C0C0005" w:tentative="1">
      <w:start w:val="1"/>
      <w:numFmt w:val="bullet"/>
      <w:lvlText w:val=""/>
      <w:lvlJc w:val="left"/>
      <w:pPr>
        <w:ind w:left="3145" w:hanging="360"/>
      </w:pPr>
      <w:rPr>
        <w:rFonts w:ascii="Wingdings" w:hAnsi="Wingdings" w:hint="default"/>
      </w:rPr>
    </w:lvl>
    <w:lvl w:ilvl="3" w:tplc="0C0C0001" w:tentative="1">
      <w:start w:val="1"/>
      <w:numFmt w:val="bullet"/>
      <w:lvlText w:val=""/>
      <w:lvlJc w:val="left"/>
      <w:pPr>
        <w:ind w:left="3865" w:hanging="360"/>
      </w:pPr>
      <w:rPr>
        <w:rFonts w:ascii="Symbol" w:hAnsi="Symbol" w:hint="default"/>
      </w:rPr>
    </w:lvl>
    <w:lvl w:ilvl="4" w:tplc="0C0C0003" w:tentative="1">
      <w:start w:val="1"/>
      <w:numFmt w:val="bullet"/>
      <w:lvlText w:val="o"/>
      <w:lvlJc w:val="left"/>
      <w:pPr>
        <w:ind w:left="4585" w:hanging="360"/>
      </w:pPr>
      <w:rPr>
        <w:rFonts w:ascii="Courier New" w:hAnsi="Courier New" w:cs="Courier New" w:hint="default"/>
      </w:rPr>
    </w:lvl>
    <w:lvl w:ilvl="5" w:tplc="0C0C0005" w:tentative="1">
      <w:start w:val="1"/>
      <w:numFmt w:val="bullet"/>
      <w:lvlText w:val=""/>
      <w:lvlJc w:val="left"/>
      <w:pPr>
        <w:ind w:left="5305" w:hanging="360"/>
      </w:pPr>
      <w:rPr>
        <w:rFonts w:ascii="Wingdings" w:hAnsi="Wingdings" w:hint="default"/>
      </w:rPr>
    </w:lvl>
    <w:lvl w:ilvl="6" w:tplc="0C0C0001" w:tentative="1">
      <w:start w:val="1"/>
      <w:numFmt w:val="bullet"/>
      <w:lvlText w:val=""/>
      <w:lvlJc w:val="left"/>
      <w:pPr>
        <w:ind w:left="6025" w:hanging="360"/>
      </w:pPr>
      <w:rPr>
        <w:rFonts w:ascii="Symbol" w:hAnsi="Symbol" w:hint="default"/>
      </w:rPr>
    </w:lvl>
    <w:lvl w:ilvl="7" w:tplc="0C0C0003" w:tentative="1">
      <w:start w:val="1"/>
      <w:numFmt w:val="bullet"/>
      <w:lvlText w:val="o"/>
      <w:lvlJc w:val="left"/>
      <w:pPr>
        <w:ind w:left="6745" w:hanging="360"/>
      </w:pPr>
      <w:rPr>
        <w:rFonts w:ascii="Courier New" w:hAnsi="Courier New" w:cs="Courier New" w:hint="default"/>
      </w:rPr>
    </w:lvl>
    <w:lvl w:ilvl="8" w:tplc="0C0C0005" w:tentative="1">
      <w:start w:val="1"/>
      <w:numFmt w:val="bullet"/>
      <w:lvlText w:val=""/>
      <w:lvlJc w:val="left"/>
      <w:pPr>
        <w:ind w:left="7465" w:hanging="360"/>
      </w:pPr>
      <w:rPr>
        <w:rFonts w:ascii="Wingdings" w:hAnsi="Wingdings" w:hint="default"/>
      </w:rPr>
    </w:lvl>
  </w:abstractNum>
  <w:abstractNum w:abstractNumId="24" w15:restartNumberingAfterBreak="0">
    <w:nsid w:val="5EE71B92"/>
    <w:multiLevelType w:val="multilevel"/>
    <w:tmpl w:val="1D64F1B8"/>
    <w:lvl w:ilvl="0">
      <w:start w:val="1"/>
      <w:numFmt w:val="decimal"/>
      <w:lvlText w:val="%1."/>
      <w:lvlJc w:val="left"/>
      <w:pPr>
        <w:tabs>
          <w:tab w:val="num" w:pos="360"/>
        </w:tabs>
        <w:ind w:left="360" w:hanging="360"/>
      </w:pPr>
      <w:rPr>
        <w:rFonts w:hint="default"/>
        <w:b/>
        <w:i w:val="0"/>
        <w:caps w:val="0"/>
        <w:strike w:val="0"/>
        <w:dstrike w:val="0"/>
        <w:vanish w:val="0"/>
        <w:color w:val="auto"/>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92"/>
        </w:tabs>
        <w:ind w:left="792" w:hanging="432"/>
      </w:pPr>
      <w:rPr>
        <w:rFonts w:hint="default"/>
        <w:sz w:val="22"/>
        <w:szCs w:val="22"/>
      </w:rPr>
    </w:lvl>
    <w:lvl w:ilvl="2">
      <w:start w:val="1"/>
      <w:numFmt w:val="decimal"/>
      <w:lvlText w:val="%1.%2.%3."/>
      <w:lvlJc w:val="left"/>
      <w:pPr>
        <w:tabs>
          <w:tab w:val="num" w:pos="1440"/>
        </w:tabs>
        <w:ind w:left="1224" w:hanging="504"/>
      </w:pPr>
      <w:rPr>
        <w:rFonts w:hint="default"/>
        <w:b w:val="0"/>
        <w:sz w:val="20"/>
        <w:szCs w:val="20"/>
      </w:rPr>
    </w:lvl>
    <w:lvl w:ilvl="3">
      <w:start w:val="1"/>
      <w:numFmt w:val="bullet"/>
      <w:lvlText w:val=""/>
      <w:lvlJc w:val="left"/>
      <w:pPr>
        <w:tabs>
          <w:tab w:val="num" w:pos="2160"/>
        </w:tabs>
        <w:ind w:left="1728" w:hanging="648"/>
      </w:pPr>
      <w:rPr>
        <w:rFonts w:ascii="Wingdings" w:hAnsi="Wingdings" w:hint="default"/>
        <w:b w:val="0"/>
        <w:color w:val="auto"/>
        <w:sz w:val="22"/>
      </w:rPr>
    </w:lvl>
    <w:lvl w:ilvl="4">
      <w:start w:val="1"/>
      <w:numFmt w:val="decimal"/>
      <w:lvlText w:val="%1.%2.%3.%4.%5."/>
      <w:lvlJc w:val="left"/>
      <w:pPr>
        <w:tabs>
          <w:tab w:val="num" w:pos="2520"/>
        </w:tabs>
        <w:ind w:left="2232" w:hanging="792"/>
      </w:pPr>
      <w:rPr>
        <w:rFonts w:hint="default"/>
        <w:sz w:val="22"/>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5" w15:restartNumberingAfterBreak="0">
    <w:nsid w:val="61997871"/>
    <w:multiLevelType w:val="hybridMultilevel"/>
    <w:tmpl w:val="A6DE3206"/>
    <w:lvl w:ilvl="0" w:tplc="C3E24AB2">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39053B1"/>
    <w:multiLevelType w:val="hybridMultilevel"/>
    <w:tmpl w:val="CDF6EF0E"/>
    <w:lvl w:ilvl="0" w:tplc="0C0C0003">
      <w:start w:val="1"/>
      <w:numFmt w:val="bullet"/>
      <w:lvlText w:val="o"/>
      <w:lvlJc w:val="left"/>
      <w:pPr>
        <w:ind w:left="1931" w:hanging="360"/>
      </w:pPr>
      <w:rPr>
        <w:rFonts w:ascii="Courier New" w:hAnsi="Courier New" w:cs="Courier New"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73012D1B"/>
    <w:multiLevelType w:val="hybridMultilevel"/>
    <w:tmpl w:val="311A095A"/>
    <w:lvl w:ilvl="0" w:tplc="14A664B8">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77A53E4E"/>
    <w:multiLevelType w:val="hybridMultilevel"/>
    <w:tmpl w:val="D0A61820"/>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7DA43E99"/>
    <w:multiLevelType w:val="hybridMultilevel"/>
    <w:tmpl w:val="4D369950"/>
    <w:lvl w:ilvl="0" w:tplc="0748B8F0">
      <w:start w:val="1"/>
      <w:numFmt w:val="bullet"/>
      <w:pStyle w:val="Puce1"/>
      <w:lvlText w:val=""/>
      <w:lvlJc w:val="left"/>
      <w:pPr>
        <w:ind w:left="720" w:hanging="360"/>
      </w:pPr>
      <w:rPr>
        <w:rFonts w:ascii="Wingdings" w:hAnsi="Wingdings" w:hint="default"/>
        <w:color w:val="auto"/>
        <w:sz w:val="18"/>
        <w:u w:color="70AD47" w:themeColor="accent6"/>
      </w:rPr>
    </w:lvl>
    <w:lvl w:ilvl="1" w:tplc="040C0019" w:tentative="1">
      <w:start w:val="1"/>
      <w:numFmt w:val="bullet"/>
      <w:lvlText w:val="o"/>
      <w:lvlJc w:val="left"/>
      <w:pPr>
        <w:ind w:left="1440" w:hanging="360"/>
      </w:pPr>
      <w:rPr>
        <w:rFonts w:ascii="Courier New" w:hAnsi="Courier New" w:cs="Courier New" w:hint="default"/>
      </w:rPr>
    </w:lvl>
    <w:lvl w:ilvl="2" w:tplc="040C001B" w:tentative="1">
      <w:start w:val="1"/>
      <w:numFmt w:val="bullet"/>
      <w:lvlText w:val=""/>
      <w:lvlJc w:val="left"/>
      <w:pPr>
        <w:ind w:left="2160" w:hanging="360"/>
      </w:pPr>
      <w:rPr>
        <w:rFonts w:ascii="Wingdings" w:hAnsi="Wingdings" w:hint="default"/>
      </w:rPr>
    </w:lvl>
    <w:lvl w:ilvl="3" w:tplc="040C000F" w:tentative="1">
      <w:start w:val="1"/>
      <w:numFmt w:val="bullet"/>
      <w:lvlText w:val=""/>
      <w:lvlJc w:val="left"/>
      <w:pPr>
        <w:ind w:left="2880" w:hanging="360"/>
      </w:pPr>
      <w:rPr>
        <w:rFonts w:ascii="Symbol" w:hAnsi="Symbol" w:hint="default"/>
      </w:rPr>
    </w:lvl>
    <w:lvl w:ilvl="4" w:tplc="040C0019" w:tentative="1">
      <w:start w:val="1"/>
      <w:numFmt w:val="bullet"/>
      <w:lvlText w:val="o"/>
      <w:lvlJc w:val="left"/>
      <w:pPr>
        <w:ind w:left="3600" w:hanging="360"/>
      </w:pPr>
      <w:rPr>
        <w:rFonts w:ascii="Courier New" w:hAnsi="Courier New" w:cs="Courier New" w:hint="default"/>
      </w:rPr>
    </w:lvl>
    <w:lvl w:ilvl="5" w:tplc="040C001B" w:tentative="1">
      <w:start w:val="1"/>
      <w:numFmt w:val="bullet"/>
      <w:lvlText w:val=""/>
      <w:lvlJc w:val="left"/>
      <w:pPr>
        <w:ind w:left="4320" w:hanging="360"/>
      </w:pPr>
      <w:rPr>
        <w:rFonts w:ascii="Wingdings" w:hAnsi="Wingdings" w:hint="default"/>
      </w:rPr>
    </w:lvl>
    <w:lvl w:ilvl="6" w:tplc="040C000F" w:tentative="1">
      <w:start w:val="1"/>
      <w:numFmt w:val="bullet"/>
      <w:lvlText w:val=""/>
      <w:lvlJc w:val="left"/>
      <w:pPr>
        <w:ind w:left="5040" w:hanging="360"/>
      </w:pPr>
      <w:rPr>
        <w:rFonts w:ascii="Symbol" w:hAnsi="Symbol" w:hint="default"/>
      </w:rPr>
    </w:lvl>
    <w:lvl w:ilvl="7" w:tplc="040C0019" w:tentative="1">
      <w:start w:val="1"/>
      <w:numFmt w:val="bullet"/>
      <w:lvlText w:val="o"/>
      <w:lvlJc w:val="left"/>
      <w:pPr>
        <w:ind w:left="5760" w:hanging="360"/>
      </w:pPr>
      <w:rPr>
        <w:rFonts w:ascii="Courier New" w:hAnsi="Courier New" w:cs="Courier New" w:hint="default"/>
      </w:rPr>
    </w:lvl>
    <w:lvl w:ilvl="8" w:tplc="040C001B" w:tentative="1">
      <w:start w:val="1"/>
      <w:numFmt w:val="bullet"/>
      <w:lvlText w:val=""/>
      <w:lvlJc w:val="left"/>
      <w:pPr>
        <w:ind w:left="6480" w:hanging="360"/>
      </w:pPr>
      <w:rPr>
        <w:rFonts w:ascii="Wingdings" w:hAnsi="Wingdings" w:hint="default"/>
      </w:rPr>
    </w:lvl>
  </w:abstractNum>
  <w:abstractNum w:abstractNumId="30" w15:restartNumberingAfterBreak="0">
    <w:nsid w:val="7E4144B6"/>
    <w:multiLevelType w:val="hybridMultilevel"/>
    <w:tmpl w:val="9FFC1E3E"/>
    <w:lvl w:ilvl="0" w:tplc="0C0C0011">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7"/>
  </w:num>
  <w:num w:numId="2">
    <w:abstractNumId w:val="4"/>
  </w:num>
  <w:num w:numId="3">
    <w:abstractNumId w:val="27"/>
  </w:num>
  <w:num w:numId="4">
    <w:abstractNumId w:val="23"/>
  </w:num>
  <w:num w:numId="5">
    <w:abstractNumId w:val="24"/>
  </w:num>
  <w:num w:numId="6">
    <w:abstractNumId w:val="21"/>
  </w:num>
  <w:num w:numId="7">
    <w:abstractNumId w:val="20"/>
  </w:num>
  <w:num w:numId="8">
    <w:abstractNumId w:val="10"/>
  </w:num>
  <w:num w:numId="9">
    <w:abstractNumId w:val="25"/>
  </w:num>
  <w:num w:numId="10">
    <w:abstractNumId w:val="13"/>
  </w:num>
  <w:num w:numId="11">
    <w:abstractNumId w:val="19"/>
  </w:num>
  <w:num w:numId="12">
    <w:abstractNumId w:val="12"/>
  </w:num>
  <w:num w:numId="13">
    <w:abstractNumId w:val="17"/>
  </w:num>
  <w:num w:numId="14">
    <w:abstractNumId w:val="22"/>
  </w:num>
  <w:num w:numId="15">
    <w:abstractNumId w:val="9"/>
  </w:num>
  <w:num w:numId="16">
    <w:abstractNumId w:val="26"/>
  </w:num>
  <w:num w:numId="17">
    <w:abstractNumId w:val="8"/>
    <w:lvlOverride w:ilvl="0">
      <w:lvl w:ilvl="0">
        <w:start w:val="1"/>
        <w:numFmt w:val="decimal"/>
        <w:lvlText w:val="%1."/>
        <w:lvlJc w:val="left"/>
        <w:pPr>
          <w:ind w:left="360" w:hanging="36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lvlText w:val="%1.%2."/>
        <w:lvlJc w:val="left"/>
        <w:pPr>
          <w:ind w:left="680" w:hanging="320"/>
        </w:pPr>
        <w:rPr>
          <w:rFonts w:hint="default"/>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2">
      <w:lvl w:ilvl="2">
        <w:start w:val="1"/>
        <w:numFmt w:val="decimal"/>
        <w:lvlText w:val="%1.%2.%3."/>
        <w:lvlJc w:val="left"/>
        <w:pPr>
          <w:ind w:left="1474" w:hanging="623"/>
        </w:pPr>
        <w:rPr>
          <w:rFonts w:ascii="Arial" w:hAnsi="Arial" w:hint="default"/>
          <w:b w:val="0"/>
          <w:bCs w:val="0"/>
          <w:i w:val="0"/>
          <w:iCs w:val="0"/>
          <w:caps w:val="0"/>
          <w:smallCaps w:val="0"/>
          <w:strike w:val="0"/>
          <w:dstrike w:val="0"/>
          <w:outline w:val="0"/>
          <w:shadow w:val="0"/>
          <w:emboss w:val="0"/>
          <w:imprint w:val="0"/>
          <w:vanish w:val="0"/>
          <w:spacing w:val="0"/>
          <w:kern w:val="0"/>
          <w:position w:val="0"/>
          <w:sz w:val="22"/>
          <w:szCs w:val="24"/>
          <w:u w:val="none"/>
          <w:effect w:val="none"/>
          <w:vertAlign w:val="baseline"/>
          <w:em w:val="none"/>
          <w14:ligatures w14:val="none"/>
          <w14:numForm w14:val="default"/>
          <w14:numSpacing w14:val="default"/>
          <w14:stylisticSets/>
          <w14:cntxtAlts w14:val="0"/>
        </w:rPr>
      </w:lvl>
    </w:lvlOverride>
    <w:lvlOverride w:ilvl="3">
      <w:lvl w:ilvl="3">
        <w:start w:val="1"/>
        <w:numFmt w:val="decimal"/>
        <w:lvlText w:val="%1.%2.%3.%4."/>
        <w:lvlJc w:val="left"/>
        <w:pPr>
          <w:ind w:left="1728" w:hanging="648"/>
        </w:pPr>
        <w:rPr>
          <w:rFonts w:hint="default"/>
          <w:b w:val="0"/>
          <w:sz w:val="22"/>
          <w:szCs w:val="22"/>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8">
    <w:abstractNumId w:val="14"/>
  </w:num>
  <w:num w:numId="19">
    <w:abstractNumId w:val="5"/>
  </w:num>
  <w:num w:numId="20">
    <w:abstractNumId w:val="6"/>
  </w:num>
  <w:num w:numId="21">
    <w:abstractNumId w:val="1"/>
  </w:num>
  <w:num w:numId="22">
    <w:abstractNumId w:val="10"/>
  </w:num>
  <w:num w:numId="23">
    <w:abstractNumId w:val="29"/>
  </w:num>
  <w:num w:numId="24">
    <w:abstractNumId w:val="11"/>
  </w:num>
  <w:num w:numId="25">
    <w:abstractNumId w:val="1"/>
  </w:num>
  <w:num w:numId="26">
    <w:abstractNumId w:val="1"/>
  </w:num>
  <w:num w:numId="27">
    <w:abstractNumId w:val="2"/>
  </w:num>
  <w:num w:numId="28">
    <w:abstractNumId w:val="28"/>
  </w:num>
  <w:num w:numId="29">
    <w:abstractNumId w:val="15"/>
  </w:num>
  <w:num w:numId="30">
    <w:abstractNumId w:val="18"/>
  </w:num>
  <w:num w:numId="31">
    <w:abstractNumId w:val="0"/>
  </w:num>
  <w:num w:numId="32">
    <w:abstractNumId w:val="30"/>
  </w:num>
  <w:num w:numId="33">
    <w:abstractNumId w:val="3"/>
  </w:num>
  <w:num w:numId="34">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1FBC"/>
    <w:rsid w:val="00041353"/>
    <w:rsid w:val="000647AE"/>
    <w:rsid w:val="000A4BE9"/>
    <w:rsid w:val="000A56D8"/>
    <w:rsid w:val="000D6EC9"/>
    <w:rsid w:val="000F7EE1"/>
    <w:rsid w:val="00141D33"/>
    <w:rsid w:val="00157E37"/>
    <w:rsid w:val="00174F54"/>
    <w:rsid w:val="0018702C"/>
    <w:rsid w:val="001A3F5D"/>
    <w:rsid w:val="001A6F15"/>
    <w:rsid w:val="001C3931"/>
    <w:rsid w:val="00204598"/>
    <w:rsid w:val="00275646"/>
    <w:rsid w:val="00275D66"/>
    <w:rsid w:val="00285F27"/>
    <w:rsid w:val="002863AA"/>
    <w:rsid w:val="00292170"/>
    <w:rsid w:val="002957DD"/>
    <w:rsid w:val="002A1FBC"/>
    <w:rsid w:val="002B18B1"/>
    <w:rsid w:val="002B53A1"/>
    <w:rsid w:val="002B58CB"/>
    <w:rsid w:val="002B6EDB"/>
    <w:rsid w:val="002D58A7"/>
    <w:rsid w:val="002F312A"/>
    <w:rsid w:val="002F6C9A"/>
    <w:rsid w:val="00300345"/>
    <w:rsid w:val="00314004"/>
    <w:rsid w:val="00320AE7"/>
    <w:rsid w:val="0033285D"/>
    <w:rsid w:val="00356AD6"/>
    <w:rsid w:val="00364034"/>
    <w:rsid w:val="00366583"/>
    <w:rsid w:val="003733EF"/>
    <w:rsid w:val="003A4454"/>
    <w:rsid w:val="003B250B"/>
    <w:rsid w:val="003C0224"/>
    <w:rsid w:val="003C1E63"/>
    <w:rsid w:val="003E284B"/>
    <w:rsid w:val="0042468C"/>
    <w:rsid w:val="00444BAF"/>
    <w:rsid w:val="00467787"/>
    <w:rsid w:val="004A4589"/>
    <w:rsid w:val="004B4365"/>
    <w:rsid w:val="004F53FC"/>
    <w:rsid w:val="005011E4"/>
    <w:rsid w:val="005F289E"/>
    <w:rsid w:val="00601FF8"/>
    <w:rsid w:val="00616EC7"/>
    <w:rsid w:val="00620161"/>
    <w:rsid w:val="00627C73"/>
    <w:rsid w:val="00631EF6"/>
    <w:rsid w:val="006677F4"/>
    <w:rsid w:val="006E7EAB"/>
    <w:rsid w:val="006F694D"/>
    <w:rsid w:val="00725A4B"/>
    <w:rsid w:val="007277CF"/>
    <w:rsid w:val="00777603"/>
    <w:rsid w:val="007E5D93"/>
    <w:rsid w:val="007F75AE"/>
    <w:rsid w:val="00810767"/>
    <w:rsid w:val="008153CB"/>
    <w:rsid w:val="0083561D"/>
    <w:rsid w:val="00850CF1"/>
    <w:rsid w:val="00863E04"/>
    <w:rsid w:val="008858D8"/>
    <w:rsid w:val="0089325B"/>
    <w:rsid w:val="008B2BE1"/>
    <w:rsid w:val="008C57B4"/>
    <w:rsid w:val="008F01EC"/>
    <w:rsid w:val="00957A14"/>
    <w:rsid w:val="00974713"/>
    <w:rsid w:val="0097683C"/>
    <w:rsid w:val="00980A05"/>
    <w:rsid w:val="00990820"/>
    <w:rsid w:val="009A36EA"/>
    <w:rsid w:val="009A7316"/>
    <w:rsid w:val="009D092B"/>
    <w:rsid w:val="009F3B88"/>
    <w:rsid w:val="00A27E74"/>
    <w:rsid w:val="00A30253"/>
    <w:rsid w:val="00A314C3"/>
    <w:rsid w:val="00A42A62"/>
    <w:rsid w:val="00A8353B"/>
    <w:rsid w:val="00AF5D18"/>
    <w:rsid w:val="00B118E3"/>
    <w:rsid w:val="00B309AA"/>
    <w:rsid w:val="00B512E1"/>
    <w:rsid w:val="00B57966"/>
    <w:rsid w:val="00B704FE"/>
    <w:rsid w:val="00B7214B"/>
    <w:rsid w:val="00C01DD7"/>
    <w:rsid w:val="00C30943"/>
    <w:rsid w:val="00C3785D"/>
    <w:rsid w:val="00C40C92"/>
    <w:rsid w:val="00C671D8"/>
    <w:rsid w:val="00C76991"/>
    <w:rsid w:val="00C8031B"/>
    <w:rsid w:val="00CB0429"/>
    <w:rsid w:val="00CB1321"/>
    <w:rsid w:val="00CE1F7C"/>
    <w:rsid w:val="00CF6678"/>
    <w:rsid w:val="00D1169C"/>
    <w:rsid w:val="00D32EA0"/>
    <w:rsid w:val="00D416AB"/>
    <w:rsid w:val="00D550E6"/>
    <w:rsid w:val="00D76AF7"/>
    <w:rsid w:val="00D800F9"/>
    <w:rsid w:val="00D809BB"/>
    <w:rsid w:val="00D85910"/>
    <w:rsid w:val="00E101DF"/>
    <w:rsid w:val="00E364FD"/>
    <w:rsid w:val="00E73A0A"/>
    <w:rsid w:val="00E83342"/>
    <w:rsid w:val="00EA2F4C"/>
    <w:rsid w:val="00EE55D6"/>
    <w:rsid w:val="00F04055"/>
    <w:rsid w:val="00F066A5"/>
    <w:rsid w:val="00F258C5"/>
    <w:rsid w:val="00F41C46"/>
    <w:rsid w:val="00F77E55"/>
    <w:rsid w:val="00F91ADC"/>
    <w:rsid w:val="00F95F0E"/>
    <w:rsid w:val="00FA7A03"/>
    <w:rsid w:val="00FE5BD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3B7293"/>
  <w15:chartTrackingRefBased/>
  <w15:docId w15:val="{425EBF08-5BC0-46C3-9280-745254901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7EAB"/>
    <w:pPr>
      <w:spacing w:after="0" w:line="240" w:lineRule="auto"/>
    </w:pPr>
    <w:rPr>
      <w:rFonts w:ascii="HelveticaNeueLT Std" w:hAnsi="HelveticaNeueLT Std"/>
      <w:sz w:val="18"/>
    </w:rPr>
  </w:style>
  <w:style w:type="paragraph" w:styleId="Titre1">
    <w:name w:val="heading 1"/>
    <w:basedOn w:val="Normal"/>
    <w:next w:val="Normal"/>
    <w:link w:val="Titre1Car"/>
    <w:uiPriority w:val="9"/>
    <w:rsid w:val="006E7EAB"/>
    <w:pPr>
      <w:keepNext/>
      <w:keepLines/>
      <w:numPr>
        <w:numId w:val="26"/>
      </w:numPr>
      <w:spacing w:after="240"/>
      <w:outlineLvl w:val="0"/>
    </w:pPr>
    <w:rPr>
      <w:rFonts w:ascii="Arial" w:eastAsiaTheme="majorEastAsia" w:hAnsi="Arial" w:cstheme="majorBidi"/>
      <w:b/>
      <w:bCs/>
      <w:sz w:val="28"/>
      <w:szCs w:val="28"/>
    </w:rPr>
  </w:style>
  <w:style w:type="paragraph" w:styleId="Titre2">
    <w:name w:val="heading 2"/>
    <w:basedOn w:val="Normal"/>
    <w:next w:val="Normal"/>
    <w:link w:val="Titre2Car"/>
    <w:uiPriority w:val="9"/>
    <w:rsid w:val="006E7EAB"/>
    <w:pPr>
      <w:keepNext/>
      <w:keepLines/>
      <w:numPr>
        <w:ilvl w:val="1"/>
        <w:numId w:val="26"/>
      </w:numPr>
      <w:pBdr>
        <w:bottom w:val="single" w:sz="4" w:space="3" w:color="auto"/>
      </w:pBdr>
      <w:spacing w:after="240"/>
      <w:outlineLvl w:val="1"/>
    </w:pPr>
    <w:rPr>
      <w:rFonts w:ascii="Arial Gras" w:eastAsiaTheme="majorEastAsia" w:hAnsi="Arial Gras" w:cstheme="majorBidi"/>
      <w:b/>
      <w:bCs/>
      <w:sz w:val="24"/>
      <w:szCs w:val="26"/>
    </w:rPr>
  </w:style>
  <w:style w:type="paragraph" w:styleId="Titre3">
    <w:name w:val="heading 3"/>
    <w:basedOn w:val="Normal"/>
    <w:next w:val="Normal"/>
    <w:link w:val="Titre3Car"/>
    <w:uiPriority w:val="9"/>
    <w:rsid w:val="006E7EAB"/>
    <w:pPr>
      <w:keepNext/>
      <w:keepLines/>
      <w:numPr>
        <w:ilvl w:val="2"/>
        <w:numId w:val="26"/>
      </w:numPr>
      <w:tabs>
        <w:tab w:val="left" w:pos="709"/>
      </w:tabs>
      <w:spacing w:after="240"/>
      <w:outlineLvl w:val="2"/>
    </w:pPr>
    <w:rPr>
      <w:rFonts w:ascii="Arial" w:eastAsiaTheme="majorEastAsia" w:hAnsi="Arial" w:cstheme="majorBidi"/>
      <w:b/>
      <w:bCs/>
      <w:smallCap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nexes">
    <w:name w:val="Annexes"/>
    <w:basedOn w:val="Titre1"/>
    <w:qFormat/>
    <w:rsid w:val="00F41C46"/>
    <w:pPr>
      <w:numPr>
        <w:numId w:val="22"/>
      </w:numPr>
      <w:tabs>
        <w:tab w:val="left" w:pos="1701"/>
      </w:tabs>
      <w:ind w:left="1701" w:hanging="1701"/>
    </w:pPr>
    <w:rPr>
      <w:rFonts w:ascii="Raleway" w:hAnsi="Raleway"/>
    </w:rPr>
  </w:style>
  <w:style w:type="paragraph" w:styleId="Corpsdetexte">
    <w:name w:val="Body Text"/>
    <w:basedOn w:val="Normal"/>
    <w:link w:val="CorpsdetexteCar"/>
    <w:rsid w:val="006E7EAB"/>
    <w:pPr>
      <w:spacing w:after="240" w:line="264" w:lineRule="auto"/>
    </w:pPr>
    <w:rPr>
      <w:rFonts w:ascii="Arial" w:eastAsia="Times New Roman" w:hAnsi="Arial" w:cs="Times New Roman"/>
      <w:sz w:val="20"/>
      <w:szCs w:val="24"/>
      <w:lang w:eastAsia="fr-FR"/>
    </w:rPr>
  </w:style>
  <w:style w:type="character" w:customStyle="1" w:styleId="CorpsdetexteCar">
    <w:name w:val="Corps de texte Car"/>
    <w:basedOn w:val="Policepardfaut"/>
    <w:link w:val="Corpsdetexte"/>
    <w:rsid w:val="006E7EAB"/>
    <w:rPr>
      <w:rFonts w:eastAsia="Times New Roman" w:cs="Times New Roman"/>
      <w:sz w:val="20"/>
      <w:szCs w:val="24"/>
      <w:lang w:eastAsia="fr-FR"/>
    </w:rPr>
  </w:style>
  <w:style w:type="paragraph" w:customStyle="1" w:styleId="corpsdetexte2">
    <w:name w:val="corps de texte 2"/>
    <w:basedOn w:val="Corpsdetexte"/>
    <w:qFormat/>
    <w:rsid w:val="006E7EAB"/>
    <w:pPr>
      <w:spacing w:after="120" w:line="240" w:lineRule="auto"/>
    </w:pPr>
    <w:rPr>
      <w:b/>
    </w:rPr>
  </w:style>
  <w:style w:type="paragraph" w:customStyle="1" w:styleId="Puce1">
    <w:name w:val="Puce 1"/>
    <w:basedOn w:val="Corpsdetexte"/>
    <w:rsid w:val="006E7EAB"/>
    <w:pPr>
      <w:numPr>
        <w:numId w:val="23"/>
      </w:numPr>
      <w:tabs>
        <w:tab w:val="left" w:pos="284"/>
      </w:tabs>
      <w:spacing w:after="60"/>
      <w:ind w:left="284" w:hanging="284"/>
    </w:pPr>
    <w:rPr>
      <w:rFonts w:eastAsiaTheme="minorHAnsi" w:cstheme="minorBidi"/>
      <w:szCs w:val="22"/>
      <w:lang w:eastAsia="en-US"/>
    </w:rPr>
  </w:style>
  <w:style w:type="paragraph" w:customStyle="1" w:styleId="Puce2">
    <w:name w:val="Puce 2"/>
    <w:basedOn w:val="Puce1"/>
    <w:rsid w:val="00601FF8"/>
    <w:pPr>
      <w:numPr>
        <w:numId w:val="24"/>
      </w:numPr>
      <w:ind w:left="568" w:hanging="284"/>
    </w:pPr>
  </w:style>
  <w:style w:type="character" w:customStyle="1" w:styleId="Titre2Car">
    <w:name w:val="Titre 2 Car"/>
    <w:basedOn w:val="Policepardfaut"/>
    <w:link w:val="Titre2"/>
    <w:uiPriority w:val="9"/>
    <w:rsid w:val="006E7EAB"/>
    <w:rPr>
      <w:rFonts w:ascii="Arial Gras" w:eastAsiaTheme="majorEastAsia" w:hAnsi="Arial Gras" w:cstheme="majorBidi"/>
      <w:b/>
      <w:bCs/>
      <w:sz w:val="24"/>
      <w:szCs w:val="26"/>
    </w:rPr>
  </w:style>
  <w:style w:type="character" w:customStyle="1" w:styleId="Titre3Car">
    <w:name w:val="Titre 3 Car"/>
    <w:basedOn w:val="Policepardfaut"/>
    <w:link w:val="Titre3"/>
    <w:uiPriority w:val="9"/>
    <w:rsid w:val="006E7EAB"/>
    <w:rPr>
      <w:rFonts w:eastAsiaTheme="majorEastAsia" w:cstheme="majorBidi"/>
      <w:b/>
      <w:bCs/>
      <w:smallCaps/>
      <w:sz w:val="20"/>
    </w:rPr>
  </w:style>
  <w:style w:type="paragraph" w:styleId="TM1">
    <w:name w:val="toc 1"/>
    <w:basedOn w:val="Normal"/>
    <w:next w:val="Normal"/>
    <w:autoRedefine/>
    <w:uiPriority w:val="39"/>
    <w:rsid w:val="006E7EAB"/>
    <w:pPr>
      <w:tabs>
        <w:tab w:val="left" w:pos="425"/>
        <w:tab w:val="right" w:leader="dot" w:pos="9072"/>
      </w:tabs>
      <w:spacing w:before="60" w:after="60"/>
      <w:ind w:left="425" w:right="567" w:hanging="425"/>
    </w:pPr>
    <w:rPr>
      <w:b/>
      <w:bCs/>
      <w:sz w:val="20"/>
      <w:szCs w:val="20"/>
    </w:rPr>
  </w:style>
  <w:style w:type="paragraph" w:styleId="TM2">
    <w:name w:val="toc 2"/>
    <w:basedOn w:val="Normal"/>
    <w:next w:val="Normal"/>
    <w:autoRedefine/>
    <w:uiPriority w:val="39"/>
    <w:rsid w:val="006E7EAB"/>
    <w:pPr>
      <w:tabs>
        <w:tab w:val="left" w:pos="992"/>
        <w:tab w:val="right" w:leader="dot" w:pos="9072"/>
      </w:tabs>
      <w:spacing w:before="60" w:after="60"/>
      <w:ind w:left="992" w:right="567" w:hanging="567"/>
    </w:pPr>
    <w:rPr>
      <w:sz w:val="20"/>
      <w:szCs w:val="20"/>
    </w:rPr>
  </w:style>
  <w:style w:type="paragraph" w:styleId="TM3">
    <w:name w:val="toc 3"/>
    <w:basedOn w:val="Normal"/>
    <w:next w:val="Normal"/>
    <w:autoRedefine/>
    <w:uiPriority w:val="39"/>
    <w:rsid w:val="006E7EAB"/>
    <w:pPr>
      <w:tabs>
        <w:tab w:val="left" w:pos="1701"/>
        <w:tab w:val="right" w:leader="dot" w:pos="9072"/>
      </w:tabs>
      <w:spacing w:before="60" w:after="60"/>
      <w:ind w:left="1701" w:right="567" w:hanging="709"/>
    </w:pPr>
    <w:rPr>
      <w:iCs/>
      <w:sz w:val="20"/>
      <w:szCs w:val="20"/>
    </w:rPr>
  </w:style>
  <w:style w:type="paragraph" w:styleId="En-tte">
    <w:name w:val="header"/>
    <w:basedOn w:val="Normal"/>
    <w:link w:val="En-tteCar"/>
    <w:uiPriority w:val="99"/>
    <w:unhideWhenUsed/>
    <w:rsid w:val="006E7EAB"/>
    <w:pPr>
      <w:tabs>
        <w:tab w:val="center" w:pos="4703"/>
        <w:tab w:val="right" w:pos="9406"/>
      </w:tabs>
    </w:pPr>
  </w:style>
  <w:style w:type="character" w:customStyle="1" w:styleId="En-tteCar">
    <w:name w:val="En-tête Car"/>
    <w:basedOn w:val="Policepardfaut"/>
    <w:link w:val="En-tte"/>
    <w:uiPriority w:val="99"/>
    <w:rsid w:val="006E7EAB"/>
    <w:rPr>
      <w:rFonts w:ascii="HelveticaNeueLT Std" w:hAnsi="HelveticaNeueLT Std"/>
      <w:sz w:val="18"/>
    </w:rPr>
  </w:style>
  <w:style w:type="paragraph" w:styleId="Pieddepage">
    <w:name w:val="footer"/>
    <w:basedOn w:val="Normal"/>
    <w:link w:val="PieddepageCar"/>
    <w:uiPriority w:val="99"/>
    <w:unhideWhenUsed/>
    <w:rsid w:val="006E7EAB"/>
    <w:pPr>
      <w:tabs>
        <w:tab w:val="center" w:pos="4703"/>
        <w:tab w:val="right" w:pos="9406"/>
      </w:tabs>
    </w:pPr>
  </w:style>
  <w:style w:type="character" w:customStyle="1" w:styleId="PieddepageCar">
    <w:name w:val="Pied de page Car"/>
    <w:basedOn w:val="Policepardfaut"/>
    <w:link w:val="Pieddepage"/>
    <w:uiPriority w:val="99"/>
    <w:rsid w:val="006E7EAB"/>
    <w:rPr>
      <w:rFonts w:ascii="HelveticaNeueLT Std" w:hAnsi="HelveticaNeueLT Std"/>
      <w:sz w:val="18"/>
    </w:rPr>
  </w:style>
  <w:style w:type="table" w:styleId="Grilledutableau">
    <w:name w:val="Table Grid"/>
    <w:basedOn w:val="TableauNormal"/>
    <w:uiPriority w:val="39"/>
    <w:rsid w:val="007277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601FF8"/>
    <w:pPr>
      <w:ind w:left="720"/>
      <w:contextualSpacing/>
    </w:pPr>
  </w:style>
  <w:style w:type="character" w:styleId="Lienhypertexte">
    <w:name w:val="Hyperlink"/>
    <w:basedOn w:val="Policepardfaut"/>
    <w:unhideWhenUsed/>
    <w:rsid w:val="00616EC7"/>
    <w:rPr>
      <w:color w:val="0563C1" w:themeColor="hyperlink"/>
      <w:u w:val="single"/>
    </w:rPr>
  </w:style>
  <w:style w:type="paragraph" w:customStyle="1" w:styleId="Annexetitre1">
    <w:name w:val="Annexe (titre 1)"/>
    <w:basedOn w:val="Normal"/>
    <w:next w:val="Titre1"/>
    <w:qFormat/>
    <w:rsid w:val="00AF5D18"/>
    <w:pPr>
      <w:keepNext/>
      <w:numPr>
        <w:ilvl w:val="1"/>
        <w:numId w:val="11"/>
      </w:numPr>
      <w:tabs>
        <w:tab w:val="clear" w:pos="792"/>
        <w:tab w:val="num" w:pos="709"/>
      </w:tabs>
      <w:spacing w:after="240"/>
      <w:ind w:left="709" w:hanging="709"/>
      <w:outlineLvl w:val="1"/>
    </w:pPr>
    <w:rPr>
      <w:rFonts w:ascii="Arial" w:eastAsia="Times New Roman" w:hAnsi="Arial" w:cs="Arial"/>
      <w:b/>
      <w:bCs/>
      <w:sz w:val="28"/>
      <w:szCs w:val="24"/>
      <w:lang w:eastAsia="fr-CA"/>
    </w:rPr>
  </w:style>
  <w:style w:type="character" w:customStyle="1" w:styleId="Titre1Car">
    <w:name w:val="Titre 1 Car"/>
    <w:basedOn w:val="Policepardfaut"/>
    <w:link w:val="Titre1"/>
    <w:uiPriority w:val="9"/>
    <w:rsid w:val="006E7EAB"/>
    <w:rPr>
      <w:rFonts w:eastAsiaTheme="majorEastAsia" w:cstheme="majorBidi"/>
      <w:b/>
      <w:bCs/>
      <w:sz w:val="28"/>
      <w:szCs w:val="28"/>
    </w:rPr>
  </w:style>
  <w:style w:type="character" w:styleId="Marquedecommentaire">
    <w:name w:val="annotation reference"/>
    <w:basedOn w:val="Policepardfaut"/>
    <w:uiPriority w:val="99"/>
    <w:semiHidden/>
    <w:unhideWhenUsed/>
    <w:rsid w:val="00B57966"/>
    <w:rPr>
      <w:sz w:val="16"/>
      <w:szCs w:val="16"/>
    </w:rPr>
  </w:style>
  <w:style w:type="paragraph" w:styleId="Commentaire">
    <w:name w:val="annotation text"/>
    <w:basedOn w:val="Normal"/>
    <w:link w:val="CommentaireCar"/>
    <w:uiPriority w:val="99"/>
    <w:semiHidden/>
    <w:unhideWhenUsed/>
    <w:rsid w:val="00B57966"/>
    <w:rPr>
      <w:sz w:val="20"/>
      <w:szCs w:val="20"/>
    </w:rPr>
  </w:style>
  <w:style w:type="character" w:customStyle="1" w:styleId="CommentaireCar">
    <w:name w:val="Commentaire Car"/>
    <w:basedOn w:val="Policepardfaut"/>
    <w:link w:val="Commentaire"/>
    <w:uiPriority w:val="99"/>
    <w:semiHidden/>
    <w:rsid w:val="00B57966"/>
    <w:rPr>
      <w:rFonts w:ascii="HelveticaNeueLT Std" w:hAnsi="HelveticaNeueLT Std"/>
      <w:sz w:val="20"/>
      <w:szCs w:val="20"/>
    </w:rPr>
  </w:style>
  <w:style w:type="paragraph" w:styleId="Objetducommentaire">
    <w:name w:val="annotation subject"/>
    <w:basedOn w:val="Commentaire"/>
    <w:next w:val="Commentaire"/>
    <w:link w:val="ObjetducommentaireCar"/>
    <w:uiPriority w:val="99"/>
    <w:semiHidden/>
    <w:unhideWhenUsed/>
    <w:rsid w:val="00B57966"/>
    <w:rPr>
      <w:b/>
      <w:bCs/>
    </w:rPr>
  </w:style>
  <w:style w:type="character" w:customStyle="1" w:styleId="ObjetducommentaireCar">
    <w:name w:val="Objet du commentaire Car"/>
    <w:basedOn w:val="CommentaireCar"/>
    <w:link w:val="Objetducommentaire"/>
    <w:uiPriority w:val="99"/>
    <w:semiHidden/>
    <w:rsid w:val="00B57966"/>
    <w:rPr>
      <w:rFonts w:ascii="HelveticaNeueLT Std" w:hAnsi="HelveticaNeueLT Std"/>
      <w:b/>
      <w:bCs/>
      <w:sz w:val="20"/>
      <w:szCs w:val="20"/>
    </w:rPr>
  </w:style>
  <w:style w:type="paragraph" w:styleId="Textedebulles">
    <w:name w:val="Balloon Text"/>
    <w:basedOn w:val="Normal"/>
    <w:link w:val="TextedebullesCar"/>
    <w:uiPriority w:val="99"/>
    <w:semiHidden/>
    <w:unhideWhenUsed/>
    <w:rsid w:val="00B57966"/>
    <w:rPr>
      <w:rFonts w:ascii="Segoe UI" w:hAnsi="Segoe UI" w:cs="Segoe UI"/>
      <w:szCs w:val="18"/>
    </w:rPr>
  </w:style>
  <w:style w:type="character" w:customStyle="1" w:styleId="TextedebullesCar">
    <w:name w:val="Texte de bulles Car"/>
    <w:basedOn w:val="Policepardfaut"/>
    <w:link w:val="Textedebulles"/>
    <w:uiPriority w:val="99"/>
    <w:semiHidden/>
    <w:rsid w:val="00B579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sigmaaldrich.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inspq.qc.ca/lspq/services/support-aux-laboratoires-maldi-to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fishersci.c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fishersci.ca"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igmaaldrich.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29DCE0-E638-41FE-8BB8-B4D7A1B58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2585</Words>
  <Characters>14219</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Danka Kareen Shank</dc:creator>
  <cp:keywords/>
  <dc:description/>
  <cp:lastModifiedBy>Danka Kareen Shank</cp:lastModifiedBy>
  <cp:revision>2</cp:revision>
  <cp:lastPrinted>2019-02-01T21:28:00Z</cp:lastPrinted>
  <dcterms:created xsi:type="dcterms:W3CDTF">2019-11-22T18:37:00Z</dcterms:created>
  <dcterms:modified xsi:type="dcterms:W3CDTF">2019-11-22T18:37:00Z</dcterms:modified>
</cp:coreProperties>
</file>