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718" w:rsidRDefault="004D27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40"/>
      </w:tblGrid>
      <w:tr w:rsidR="008471CB" w:rsidTr="00EA0D62"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4D2718" w:rsidRDefault="008471CB" w:rsidP="004D2718">
            <w:pPr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4D2718">
              <w:rPr>
                <w:rFonts w:ascii="HelveticaNeueLT Std" w:hAnsi="HelveticaNeueLT Std"/>
                <w:b/>
                <w:sz w:val="28"/>
                <w:szCs w:val="28"/>
              </w:rPr>
              <w:t xml:space="preserve">Exemples de groupes de </w:t>
            </w:r>
            <w:r w:rsidR="00041865" w:rsidRPr="004D2718">
              <w:rPr>
                <w:rFonts w:ascii="HelveticaNeueLT Std" w:hAnsi="HelveticaNeueLT Std"/>
                <w:b/>
                <w:sz w:val="28"/>
                <w:szCs w:val="28"/>
              </w:rPr>
              <w:t xml:space="preserve">la </w:t>
            </w:r>
            <w:r w:rsidRPr="004D2718">
              <w:rPr>
                <w:rFonts w:ascii="HelveticaNeueLT Std" w:hAnsi="HelveticaNeueLT Std"/>
                <w:b/>
                <w:sz w:val="28"/>
                <w:szCs w:val="28"/>
              </w:rPr>
              <w:t xml:space="preserve">population pouvant </w:t>
            </w:r>
          </w:p>
          <w:p w:rsidR="008471CB" w:rsidRPr="004D2718" w:rsidRDefault="008471CB" w:rsidP="004D2718">
            <w:pPr>
              <w:jc w:val="center"/>
              <w:rPr>
                <w:rFonts w:ascii="HelveticaNeueLT Std" w:hAnsi="HelveticaNeueLT Std"/>
                <w:b/>
                <w:sz w:val="28"/>
                <w:szCs w:val="28"/>
              </w:rPr>
            </w:pPr>
            <w:r w:rsidRPr="004D2718">
              <w:rPr>
                <w:rFonts w:ascii="HelveticaNeueLT Std" w:hAnsi="HelveticaNeueLT Std"/>
                <w:b/>
                <w:sz w:val="28"/>
                <w:szCs w:val="28"/>
              </w:rPr>
              <w:t>être touchés par le projet</w:t>
            </w:r>
          </w:p>
          <w:p w:rsidR="004D2718" w:rsidRDefault="004D2718" w:rsidP="00290FDB">
            <w:pPr>
              <w:ind w:right="737"/>
              <w:rPr>
                <w:rFonts w:ascii="HelveticaNeueLT Std" w:hAnsi="HelveticaNeueLT Std"/>
                <w:sz w:val="20"/>
                <w:szCs w:val="20"/>
              </w:rPr>
            </w:pPr>
          </w:p>
          <w:p w:rsidR="008471CB" w:rsidRPr="00546C20" w:rsidRDefault="008471CB" w:rsidP="00290FDB">
            <w:pPr>
              <w:ind w:right="737"/>
              <w:rPr>
                <w:rFonts w:ascii="HelveticaNeueLT Std" w:hAnsi="HelveticaNeueLT Std"/>
                <w:sz w:val="20"/>
                <w:szCs w:val="20"/>
              </w:rPr>
            </w:pPr>
            <w:r>
              <w:rPr>
                <w:rFonts w:ascii="HelveticaNeueLT Std" w:hAnsi="HelveticaNeueLT Std"/>
                <w:sz w:val="20"/>
                <w:szCs w:val="20"/>
              </w:rPr>
              <w:t xml:space="preserve">Le projet </w:t>
            </w:r>
            <w:r w:rsidRPr="00A47469">
              <w:rPr>
                <w:rFonts w:ascii="HelveticaNeueLT Std" w:hAnsi="HelveticaNeueLT Std"/>
                <w:sz w:val="20"/>
                <w:szCs w:val="20"/>
              </w:rPr>
              <w:t>peut avoir d</w:t>
            </w:r>
            <w:r w:rsidR="004D2718">
              <w:rPr>
                <w:rFonts w:ascii="HelveticaNeueLT Std" w:hAnsi="HelveticaNeueLT Std"/>
                <w:sz w:val="20"/>
                <w:szCs w:val="20"/>
              </w:rPr>
              <w:t>ifférents</w:t>
            </w:r>
            <w:r w:rsidRPr="00A47469">
              <w:rPr>
                <w:rFonts w:ascii="HelveticaNeueLT Std" w:hAnsi="HelveticaNeueLT Std"/>
                <w:sz w:val="20"/>
                <w:szCs w:val="20"/>
              </w:rPr>
              <w:t xml:space="preserve"> effets</w:t>
            </w:r>
            <w:r>
              <w:rPr>
                <w:rFonts w:ascii="HelveticaNeueLT Std" w:hAnsi="HelveticaNeueLT Std"/>
                <w:sz w:val="20"/>
                <w:szCs w:val="20"/>
              </w:rPr>
              <w:t xml:space="preserve"> sur la santé</w:t>
            </w:r>
            <w:r w:rsidRPr="00A47469">
              <w:rPr>
                <w:rFonts w:ascii="HelveticaNeueLT Std" w:hAnsi="HelveticaNeueLT Std"/>
                <w:sz w:val="20"/>
                <w:szCs w:val="20"/>
              </w:rPr>
              <w:t xml:space="preserve"> selon les groupes. Certains seront avantagés, d’autres peu touchés ou au contraire défavorisés. L’EIS met en </w:t>
            </w:r>
            <w:r w:rsidR="004D2718" w:rsidRPr="00A47469">
              <w:rPr>
                <w:rFonts w:ascii="HelveticaNeueLT Std" w:hAnsi="HelveticaNeueLT Std"/>
                <w:sz w:val="20"/>
                <w:szCs w:val="20"/>
              </w:rPr>
              <w:t>exergue les écarts et disparités entre ces groupes et</w:t>
            </w:r>
            <w:r w:rsidR="004D2718">
              <w:rPr>
                <w:rFonts w:ascii="HelveticaNeueLT Std" w:hAnsi="HelveticaNeueLT Std"/>
                <w:sz w:val="20"/>
                <w:szCs w:val="20"/>
              </w:rPr>
              <w:t xml:space="preserve"> permet de caractériser les inégalités que peut entraîner le projet.</w:t>
            </w:r>
          </w:p>
          <w:tbl>
            <w:tblPr>
              <w:tblStyle w:val="Grilledutableau"/>
              <w:tblpPr w:leftFromText="141" w:rightFromText="141" w:vertAnchor="page" w:horzAnchor="margin" w:tblpY="222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972"/>
              <w:gridCol w:w="6387"/>
            </w:tblGrid>
            <w:tr w:rsidR="004D2718" w:rsidRPr="00B10EB0" w:rsidTr="004D2718">
              <w:tc>
                <w:tcPr>
                  <w:tcW w:w="1972" w:type="dxa"/>
                  <w:shd w:val="clear" w:color="auto" w:fill="auto"/>
                </w:tcPr>
                <w:p w:rsidR="004D2718" w:rsidRPr="00374995" w:rsidRDefault="004D2718" w:rsidP="004D2718">
                  <w:pPr>
                    <w:jc w:val="center"/>
                    <w:rPr>
                      <w:rFonts w:ascii="HelveticaNeueLT Std" w:hAnsi="HelveticaNeueLT Std" w:cs="Arial"/>
                      <w:b/>
                      <w:sz w:val="10"/>
                      <w:szCs w:val="10"/>
                    </w:rPr>
                  </w:pPr>
                </w:p>
                <w:p w:rsidR="004D2718" w:rsidRPr="004C5480" w:rsidRDefault="004D2718" w:rsidP="004D2718">
                  <w:pPr>
                    <w:jc w:val="center"/>
                    <w:rPr>
                      <w:rFonts w:ascii="HelveticaNeueLT Std" w:hAnsi="HelveticaNeueLT Std" w:cs="Arial"/>
                      <w:b/>
                      <w:sz w:val="20"/>
                      <w:szCs w:val="20"/>
                    </w:rPr>
                  </w:pPr>
                  <w:r w:rsidRPr="004C5480">
                    <w:rPr>
                      <w:rFonts w:ascii="HelveticaNeueLT Std" w:hAnsi="HelveticaNeueLT Std" w:cs="Arial"/>
                      <w:b/>
                      <w:sz w:val="20"/>
                      <w:szCs w:val="20"/>
                    </w:rPr>
                    <w:t>Caractéristiques</w:t>
                  </w:r>
                </w:p>
                <w:p w:rsidR="004D2718" w:rsidRPr="00374995" w:rsidRDefault="004D2718" w:rsidP="004D2718">
                  <w:pPr>
                    <w:jc w:val="center"/>
                    <w:rPr>
                      <w:rFonts w:ascii="HelveticaNeueLT Std" w:hAnsi="HelveticaNeueLT Std" w:cs="Arial"/>
                      <w:b/>
                      <w:sz w:val="10"/>
                      <w:szCs w:val="10"/>
                    </w:rPr>
                  </w:pPr>
                </w:p>
              </w:tc>
              <w:tc>
                <w:tcPr>
                  <w:tcW w:w="6387" w:type="dxa"/>
                  <w:shd w:val="clear" w:color="auto" w:fill="auto"/>
                </w:tcPr>
                <w:p w:rsidR="004D2718" w:rsidRPr="00374995" w:rsidRDefault="004D2718" w:rsidP="004D2718">
                  <w:pPr>
                    <w:jc w:val="center"/>
                    <w:rPr>
                      <w:rFonts w:ascii="HelveticaNeueLT Std" w:hAnsi="HelveticaNeueLT Std" w:cs="Arial"/>
                      <w:b/>
                      <w:sz w:val="10"/>
                      <w:szCs w:val="10"/>
                    </w:rPr>
                  </w:pPr>
                </w:p>
                <w:p w:rsidR="004D2718" w:rsidRPr="004C5480" w:rsidRDefault="004D2718" w:rsidP="004D2718">
                  <w:pPr>
                    <w:jc w:val="center"/>
                    <w:rPr>
                      <w:rFonts w:ascii="HelveticaNeueLT Std" w:hAnsi="HelveticaNeueLT Std" w:cs="Arial"/>
                      <w:b/>
                      <w:sz w:val="20"/>
                      <w:szCs w:val="20"/>
                    </w:rPr>
                  </w:pPr>
                  <w:r w:rsidRPr="004C5480">
                    <w:rPr>
                      <w:rFonts w:ascii="HelveticaNeueLT Std" w:hAnsi="HelveticaNeueLT Std" w:cs="Arial"/>
                      <w:b/>
                      <w:sz w:val="20"/>
                      <w:szCs w:val="20"/>
                    </w:rPr>
                    <w:t>Exemples de groupes cibles</w:t>
                  </w:r>
                </w:p>
                <w:p w:rsidR="004D2718" w:rsidRPr="00374995" w:rsidRDefault="004D2718" w:rsidP="004D2718">
                  <w:pPr>
                    <w:jc w:val="center"/>
                    <w:rPr>
                      <w:rFonts w:ascii="HelveticaNeueLT Std" w:hAnsi="HelveticaNeueLT Std" w:cs="Arial"/>
                      <w:b/>
                      <w:sz w:val="10"/>
                      <w:szCs w:val="10"/>
                    </w:rPr>
                  </w:pPr>
                </w:p>
              </w:tc>
            </w:tr>
            <w:tr w:rsidR="004D2718" w:rsidRPr="00657BB4" w:rsidTr="004D2718">
              <w:tc>
                <w:tcPr>
                  <w:tcW w:w="1972" w:type="dxa"/>
                </w:tcPr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  <w:r w:rsidRPr="00A47469">
                    <w:rPr>
                      <w:rFonts w:ascii="HelveticaNeueLT Std" w:hAnsi="HelveticaNeueLT Std" w:cs="Arial"/>
                      <w:sz w:val="20"/>
                      <w:szCs w:val="20"/>
                    </w:rPr>
                    <w:t>Âge</w:t>
                  </w: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7" w:type="dxa"/>
                </w:tcPr>
                <w:p w:rsidR="004D2718" w:rsidRPr="00374995" w:rsidRDefault="004D2718" w:rsidP="004D2718">
                  <w:pPr>
                    <w:pStyle w:val="Paragraphedeliste"/>
                    <w:rPr>
                      <w:rFonts w:ascii="HelveticaNeueLT Std" w:hAnsi="HelveticaNeueLT Std" w:cs="Arial"/>
                      <w:sz w:val="6"/>
                      <w:szCs w:val="6"/>
                      <w:lang w:val="fr-FR"/>
                    </w:rPr>
                  </w:pP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Enfants (0-12 ans)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Adolescents (13-17 ans)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Jeunes adultes (18-24 ans)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Adultes (25-64 ans)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Aînés (65 ans et plus)</w:t>
                  </w:r>
                </w:p>
                <w:p w:rsidR="004D2718" w:rsidRPr="00374995" w:rsidRDefault="004D2718" w:rsidP="004D2718">
                  <w:pPr>
                    <w:rPr>
                      <w:rFonts w:ascii="HelveticaNeueLT Std" w:hAnsi="HelveticaNeueLT Std" w:cs="Arial"/>
                      <w:sz w:val="6"/>
                      <w:szCs w:val="6"/>
                      <w:lang w:val="fr-FR"/>
                    </w:rPr>
                  </w:pPr>
                </w:p>
              </w:tc>
            </w:tr>
            <w:tr w:rsidR="004D2718" w:rsidRPr="00B10EB0" w:rsidTr="004D2718">
              <w:tc>
                <w:tcPr>
                  <w:tcW w:w="1972" w:type="dxa"/>
                </w:tcPr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  <w:r w:rsidRPr="00A47469">
                    <w:rPr>
                      <w:rFonts w:ascii="HelveticaNeueLT Std" w:hAnsi="HelveticaNeueLT Std" w:cs="Arial"/>
                      <w:sz w:val="20"/>
                      <w:szCs w:val="20"/>
                    </w:rPr>
                    <w:t>Revenu</w:t>
                  </w: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7" w:type="dxa"/>
                </w:tcPr>
                <w:p w:rsidR="004D2718" w:rsidRPr="00374995" w:rsidRDefault="004D2718" w:rsidP="004D2718">
                  <w:pPr>
                    <w:pStyle w:val="Paragraphedeliste"/>
                    <w:rPr>
                      <w:rFonts w:ascii="HelveticaNeueLT Std" w:hAnsi="HelveticaNeueLT Std" w:cs="Arial"/>
                      <w:sz w:val="6"/>
                      <w:szCs w:val="6"/>
                      <w:lang w:val="fr-FR"/>
                    </w:rPr>
                  </w:pP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Personnes à faible revenu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 xml:space="preserve">Personnes sans emploi 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 xml:space="preserve">Personnes </w:t>
                  </w:r>
                  <w: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retraitées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Personnes en arrêt de travail/inaptes au travail</w:t>
                  </w:r>
                </w:p>
                <w:p w:rsidR="004D2718" w:rsidRPr="00374995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6"/>
                      <w:szCs w:val="6"/>
                    </w:rPr>
                  </w:pPr>
                </w:p>
              </w:tc>
            </w:tr>
            <w:tr w:rsidR="004D2718" w:rsidRPr="00B10EB0" w:rsidTr="004D2718">
              <w:tc>
                <w:tcPr>
                  <w:tcW w:w="1972" w:type="dxa"/>
                </w:tcPr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  <w:r w:rsidRPr="00A47469">
                    <w:rPr>
                      <w:rFonts w:ascii="HelveticaNeueLT Std" w:hAnsi="HelveticaNeueLT Std" w:cs="Arial"/>
                      <w:sz w:val="20"/>
                      <w:szCs w:val="20"/>
                    </w:rPr>
                    <w:t>Situation géographique</w:t>
                  </w: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</w:tc>
              <w:tc>
                <w:tcPr>
                  <w:tcW w:w="6387" w:type="dxa"/>
                </w:tcPr>
                <w:p w:rsidR="004D2718" w:rsidRPr="00374995" w:rsidRDefault="004D2718" w:rsidP="004D2718">
                  <w:pPr>
                    <w:rPr>
                      <w:rFonts w:ascii="HelveticaNeueLT Std" w:hAnsi="HelveticaNeueLT Std" w:cs="Arial"/>
                      <w:sz w:val="6"/>
                      <w:szCs w:val="6"/>
                      <w:lang w:val="fr-FR"/>
                    </w:rPr>
                  </w:pP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Personnes vivant dans une région économiquement défavorisée ou dévitalisée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Personnes vivant en région éloignée</w:t>
                  </w:r>
                </w:p>
                <w:p w:rsidR="004D2718" w:rsidRPr="00374995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 xml:space="preserve">Personnes n’ayant pas accès à des services </w:t>
                  </w:r>
                </w:p>
                <w:p w:rsidR="004D2718" w:rsidRPr="00374995" w:rsidRDefault="004D2718" w:rsidP="004D2718">
                  <w:pPr>
                    <w:pStyle w:val="Paragraphedeliste"/>
                    <w:rPr>
                      <w:rFonts w:ascii="HelveticaNeueLT Std" w:hAnsi="HelveticaNeueLT Std" w:cs="Arial"/>
                      <w:sz w:val="6"/>
                      <w:szCs w:val="6"/>
                    </w:rPr>
                  </w:pPr>
                </w:p>
              </w:tc>
            </w:tr>
            <w:tr w:rsidR="004D2718" w:rsidRPr="00657BB4" w:rsidTr="004D2718">
              <w:tc>
                <w:tcPr>
                  <w:tcW w:w="1972" w:type="dxa"/>
                </w:tcPr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Default="004D2718" w:rsidP="004D2718">
                  <w:pPr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</w:p>
                <w:p w:rsidR="004D2718" w:rsidRPr="00A47469" w:rsidRDefault="004D2718" w:rsidP="004D2718">
                  <w:pPr>
                    <w:jc w:val="center"/>
                    <w:rPr>
                      <w:rFonts w:ascii="HelveticaNeueLT Std" w:hAnsi="HelveticaNeueLT Std" w:cs="Arial"/>
                      <w:sz w:val="20"/>
                      <w:szCs w:val="20"/>
                    </w:rPr>
                  </w:pPr>
                  <w:r w:rsidRPr="00A47469">
                    <w:rPr>
                      <w:rFonts w:ascii="HelveticaNeueLT Std" w:hAnsi="HelveticaNeueLT Std" w:cs="Arial"/>
                      <w:sz w:val="20"/>
                      <w:szCs w:val="20"/>
                    </w:rPr>
                    <w:t>Caractéristiques socio-démographiques</w:t>
                  </w:r>
                </w:p>
              </w:tc>
              <w:tc>
                <w:tcPr>
                  <w:tcW w:w="6387" w:type="dxa"/>
                </w:tcPr>
                <w:p w:rsidR="004D2718" w:rsidRPr="00E05BCD" w:rsidRDefault="004D2718" w:rsidP="004D2718">
                  <w:pPr>
                    <w:rPr>
                      <w:rFonts w:ascii="HelveticaNeueLT Std" w:hAnsi="HelveticaNeueLT Std" w:cs="Arial"/>
                      <w:sz w:val="10"/>
                      <w:szCs w:val="10"/>
                      <w:lang w:val="fr-FR"/>
                    </w:rPr>
                  </w:pP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Hommes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Femmes</w:t>
                  </w:r>
                </w:p>
                <w:p w:rsidR="004D2718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Femmes enceintes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Minorités sexuelles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Personnes handicapées</w:t>
                  </w:r>
                </w:p>
                <w:p w:rsidR="004D2718" w:rsidRPr="00E05BCD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Personnes avec des maladies ou limitations psychiques</w:t>
                  </w:r>
                </w:p>
                <w:p w:rsidR="004D2718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Familles monoparentales</w:t>
                  </w:r>
                </w:p>
                <w:p w:rsidR="004D2718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Minorités ethniques</w:t>
                  </w:r>
                </w:p>
                <w:p w:rsidR="004D2718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Groupes religieux</w:t>
                  </w:r>
                </w:p>
                <w:p w:rsidR="004D2718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I</w:t>
                  </w: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 xml:space="preserve">mmigrants </w:t>
                  </w:r>
                  <w: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 xml:space="preserve">/ </w:t>
                  </w: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Réfugiés</w:t>
                  </w:r>
                </w:p>
                <w:p w:rsidR="004D2718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Toxicomanes</w:t>
                  </w:r>
                </w:p>
                <w:p w:rsidR="004D2718" w:rsidRPr="00374995" w:rsidRDefault="004D2718" w:rsidP="004D2718">
                  <w:pPr>
                    <w:pStyle w:val="Paragraphedeliste"/>
                    <w:numPr>
                      <w:ilvl w:val="0"/>
                      <w:numId w:val="1"/>
                    </w:numPr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</w:pPr>
                  <w:r w:rsidRPr="00E05BCD">
                    <w:rPr>
                      <w:rFonts w:ascii="HelveticaNeueLT Std" w:hAnsi="HelveticaNeueLT Std" w:cs="Arial"/>
                      <w:sz w:val="20"/>
                      <w:szCs w:val="20"/>
                      <w:lang w:val="fr-FR"/>
                    </w:rPr>
                    <w:t>Sans-abris</w:t>
                  </w:r>
                </w:p>
                <w:p w:rsidR="004D2718" w:rsidRPr="00E05BCD" w:rsidRDefault="004D2718" w:rsidP="004D2718">
                  <w:pPr>
                    <w:pStyle w:val="Paragraphedeliste"/>
                    <w:rPr>
                      <w:rFonts w:ascii="HelveticaNeueLT Std" w:hAnsi="HelveticaNeueLT Std" w:cs="Arial"/>
                      <w:sz w:val="10"/>
                      <w:szCs w:val="10"/>
                      <w:lang w:val="fr-FR"/>
                    </w:rPr>
                  </w:pPr>
                </w:p>
              </w:tc>
            </w:tr>
          </w:tbl>
          <w:p w:rsidR="008471CB" w:rsidRDefault="008471CB" w:rsidP="00290FDB">
            <w:pPr>
              <w:rPr>
                <w:rFonts w:ascii="HelveticaNeueLT Std" w:hAnsi="HelveticaNeueLT Std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A0D62" w:rsidRDefault="00EA0D62"/>
    <w:p w:rsidR="00041865" w:rsidRDefault="00041865"/>
    <w:p w:rsidR="00041865" w:rsidRPr="00A40682" w:rsidRDefault="00041865" w:rsidP="00041865">
      <w:pPr>
        <w:pStyle w:val="NormalWeb"/>
        <w:spacing w:before="0" w:beforeAutospacing="0" w:after="0" w:afterAutospacing="0"/>
        <w:jc w:val="right"/>
        <w:rPr>
          <w:rFonts w:ascii="HelveticaNeueLT Std" w:hAnsi="HelveticaNeueLT Std" w:cstheme="minorBidi"/>
          <w:color w:val="3B3838" w:themeColor="background2" w:themeShade="40"/>
          <w:kern w:val="24"/>
          <w:sz w:val="18"/>
          <w:szCs w:val="18"/>
        </w:rPr>
      </w:pPr>
      <w:r w:rsidRPr="00A40682">
        <w:rPr>
          <w:rFonts w:ascii="HelveticaNeueLT Std" w:hAnsi="HelveticaNeueLT Std" w:cstheme="minorBidi"/>
          <w:color w:val="3B3838" w:themeColor="background2" w:themeShade="40"/>
          <w:kern w:val="24"/>
          <w:sz w:val="18"/>
          <w:szCs w:val="18"/>
        </w:rPr>
        <w:t xml:space="preserve">Lapointe, G., &amp; Tremblay, É. (2019). </w:t>
      </w:r>
    </w:p>
    <w:p w:rsidR="008471CB" w:rsidRPr="00041865" w:rsidRDefault="00041865" w:rsidP="00041865">
      <w:pPr>
        <w:pStyle w:val="NormalWeb"/>
        <w:spacing w:before="0" w:beforeAutospacing="0" w:after="0" w:afterAutospacing="0"/>
        <w:jc w:val="right"/>
        <w:rPr>
          <w:sz w:val="18"/>
          <w:szCs w:val="18"/>
        </w:rPr>
      </w:pPr>
      <w:r w:rsidRPr="00A40682">
        <w:rPr>
          <w:rFonts w:ascii="HelveticaNeueLT Std" w:hAnsi="HelveticaNeueLT Std" w:cstheme="minorBidi"/>
          <w:color w:val="3B3838" w:themeColor="background2" w:themeShade="40"/>
          <w:kern w:val="24"/>
          <w:sz w:val="18"/>
          <w:szCs w:val="18"/>
        </w:rPr>
        <w:t>Équipe EIS; Institut national de santé publique du Québec</w:t>
      </w:r>
    </w:p>
    <w:sectPr w:rsidR="008471CB" w:rsidRPr="00041865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718" w:rsidRDefault="004D2718" w:rsidP="004D2718">
      <w:pPr>
        <w:spacing w:after="0" w:line="240" w:lineRule="auto"/>
      </w:pPr>
      <w:r>
        <w:separator/>
      </w:r>
    </w:p>
  </w:endnote>
  <w:endnote w:type="continuationSeparator" w:id="0">
    <w:p w:rsidR="004D2718" w:rsidRDefault="004D2718" w:rsidP="004D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718" w:rsidRDefault="004D2718" w:rsidP="004D2718">
      <w:pPr>
        <w:spacing w:after="0" w:line="240" w:lineRule="auto"/>
      </w:pPr>
      <w:r>
        <w:separator/>
      </w:r>
    </w:p>
  </w:footnote>
  <w:footnote w:type="continuationSeparator" w:id="0">
    <w:p w:rsidR="004D2718" w:rsidRDefault="004D2718" w:rsidP="004D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718" w:rsidRDefault="004D2718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74504796" wp14:editId="46D73ECD">
          <wp:simplePos x="0" y="0"/>
          <wp:positionH relativeFrom="margin">
            <wp:align>right</wp:align>
          </wp:positionH>
          <wp:positionV relativeFrom="paragraph">
            <wp:posOffset>-46990</wp:posOffset>
          </wp:positionV>
          <wp:extent cx="1251185" cy="504000"/>
          <wp:effectExtent l="0" t="0" r="6350" b="0"/>
          <wp:wrapTight wrapText="bothSides">
            <wp:wrapPolygon edited="0">
              <wp:start x="0" y="0"/>
              <wp:lineTo x="0" y="20429"/>
              <wp:lineTo x="21381" y="20429"/>
              <wp:lineTo x="21381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18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CA"/>
      </w:rPr>
      <w:drawing>
        <wp:inline distT="0" distB="0" distL="0" distR="0" wp14:anchorId="3AD4874F" wp14:editId="0657AC7B">
          <wp:extent cx="1301115" cy="451485"/>
          <wp:effectExtent l="0" t="0" r="0" b="5715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1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0111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2718" w:rsidRDefault="004D27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A7F"/>
    <w:multiLevelType w:val="hybridMultilevel"/>
    <w:tmpl w:val="355C9296"/>
    <w:lvl w:ilvl="0" w:tplc="11B6EE8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1CB"/>
    <w:rsid w:val="00041865"/>
    <w:rsid w:val="004D2718"/>
    <w:rsid w:val="008471CB"/>
    <w:rsid w:val="00EA0D62"/>
    <w:rsid w:val="00FD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FACC2"/>
  <w15:chartTrackingRefBased/>
  <w15:docId w15:val="{4B8212FC-36E4-4B26-8FCC-BDDE8C0BC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1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7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Liste Paragraphe"/>
    <w:basedOn w:val="Normal"/>
    <w:link w:val="ParagraphedelisteCar"/>
    <w:uiPriority w:val="34"/>
    <w:qFormat/>
    <w:rsid w:val="008471CB"/>
    <w:pPr>
      <w:ind w:left="720"/>
      <w:contextualSpacing/>
    </w:pPr>
  </w:style>
  <w:style w:type="character" w:customStyle="1" w:styleId="ParagraphedelisteCar">
    <w:name w:val="Paragraphe de liste Car"/>
    <w:aliases w:val="Liste Paragraphe Car"/>
    <w:link w:val="Paragraphedeliste"/>
    <w:uiPriority w:val="34"/>
    <w:rsid w:val="008471CB"/>
  </w:style>
  <w:style w:type="character" w:styleId="Marquedecommentaire">
    <w:name w:val="annotation reference"/>
    <w:basedOn w:val="Policepardfaut"/>
    <w:uiPriority w:val="99"/>
    <w:semiHidden/>
    <w:unhideWhenUsed/>
    <w:rsid w:val="00EA0D62"/>
    <w:rPr>
      <w:rFonts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0418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4D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D2718"/>
  </w:style>
  <w:style w:type="paragraph" w:styleId="Pieddepage">
    <w:name w:val="footer"/>
    <w:basedOn w:val="Normal"/>
    <w:link w:val="PieddepageCar"/>
    <w:uiPriority w:val="99"/>
    <w:unhideWhenUsed/>
    <w:rsid w:val="004D271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D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Geneviève Lapointe</dc:creator>
  <cp:keywords/>
  <dc:description/>
  <cp:lastModifiedBy>Geneviève Lapointe</cp:lastModifiedBy>
  <cp:revision>2</cp:revision>
  <dcterms:created xsi:type="dcterms:W3CDTF">2021-05-17T20:58:00Z</dcterms:created>
  <dcterms:modified xsi:type="dcterms:W3CDTF">2021-05-17T20:58:00Z</dcterms:modified>
</cp:coreProperties>
</file>