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4" w:rsidRPr="00F10194" w:rsidRDefault="00F10194" w:rsidP="00F10194">
      <w:pPr>
        <w:pStyle w:val="Titre2"/>
        <w:shd w:val="clear" w:color="auto" w:fill="BFBFBF" w:themeFill="background1" w:themeFillShade="BF"/>
        <w:spacing w:before="0" w:after="0"/>
        <w:ind w:left="-851" w:right="-907"/>
        <w:jc w:val="center"/>
        <w:rPr>
          <w:rFonts w:cs="Arial"/>
          <w:szCs w:val="24"/>
        </w:rPr>
      </w:pPr>
      <w:bookmarkStart w:id="0" w:name="_Toc299366649"/>
    </w:p>
    <w:p w:rsidR="00430D07" w:rsidRPr="00F10194" w:rsidRDefault="00430D07" w:rsidP="00F10194">
      <w:pPr>
        <w:pStyle w:val="Titre2"/>
        <w:shd w:val="clear" w:color="auto" w:fill="BFBFBF" w:themeFill="background1" w:themeFillShade="BF"/>
        <w:spacing w:before="0" w:after="0"/>
        <w:ind w:left="-851" w:right="-907"/>
        <w:jc w:val="center"/>
        <w:rPr>
          <w:rFonts w:cs="Arial"/>
          <w:szCs w:val="24"/>
        </w:rPr>
      </w:pPr>
      <w:r w:rsidRPr="00F10194">
        <w:rPr>
          <w:rFonts w:cs="Arial"/>
          <w:szCs w:val="24"/>
        </w:rPr>
        <w:t>Aide-mémoire : réaliser l’enquête</w:t>
      </w:r>
      <w:bookmarkEnd w:id="0"/>
    </w:p>
    <w:p w:rsidR="00F10194" w:rsidRPr="00F10194" w:rsidRDefault="00F10194" w:rsidP="00F10194">
      <w:pPr>
        <w:pStyle w:val="Titre2"/>
        <w:shd w:val="clear" w:color="auto" w:fill="BFBFBF" w:themeFill="background1" w:themeFillShade="BF"/>
        <w:spacing w:before="0" w:after="0"/>
        <w:ind w:left="-851" w:right="-907"/>
        <w:jc w:val="center"/>
        <w:rPr>
          <w:rFonts w:cs="Arial"/>
          <w:szCs w:val="24"/>
        </w:rPr>
      </w:pPr>
    </w:p>
    <w:p w:rsidR="00430D07" w:rsidRPr="00F10194" w:rsidRDefault="00430D07" w:rsidP="00F10194">
      <w:pPr>
        <w:spacing w:before="480" w:after="240"/>
        <w:rPr>
          <w:rFonts w:cs="Arial"/>
          <w:b/>
        </w:rPr>
      </w:pPr>
      <w:r w:rsidRPr="00F10194">
        <w:rPr>
          <w:rFonts w:cs="Arial"/>
          <w:b/>
        </w:rPr>
        <w:t>Préparer le terrain</w:t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A-t-on élaboré et mis en œuvre des stratégies pour préparer le terrain ?</w:t>
      </w:r>
      <w:r w:rsidRPr="00F10194">
        <w:tab/>
      </w:r>
      <w:r w:rsidR="00CB158E">
        <w:t xml:space="preserve">Oui </w:t>
      </w:r>
      <w:bookmarkStart w:id="1" w:name="CaseACocher1"/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bookmarkEnd w:id="1"/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bookmarkStart w:id="2" w:name="CaseACocher2"/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  <w:bookmarkEnd w:id="2"/>
    </w:p>
    <w:p w:rsidR="00F10194" w:rsidRDefault="00F10194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Est-ce que les stratégies pour préparer le terrain sont fondées sur une bonne connaissance du milieu et de la population cible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Pr="00F10194" w:rsidRDefault="00430D07" w:rsidP="00F10194">
      <w:pPr>
        <w:spacing w:before="480" w:after="240"/>
        <w:rPr>
          <w:rFonts w:cs="Arial"/>
          <w:b/>
        </w:rPr>
      </w:pPr>
      <w:r w:rsidRPr="00F10194">
        <w:rPr>
          <w:rFonts w:cs="Arial"/>
          <w:b/>
        </w:rPr>
        <w:t>Soumettre le questionnaire</w:t>
      </w:r>
    </w:p>
    <w:p w:rsidR="00430D07" w:rsidRPr="0032385E" w:rsidRDefault="00430D07" w:rsidP="00430D07">
      <w:pPr>
        <w:spacing w:before="0" w:line="264" w:lineRule="auto"/>
        <w:rPr>
          <w:rFonts w:cs="Arial"/>
          <w:i/>
        </w:rPr>
      </w:pPr>
      <w:r w:rsidRPr="0032385E">
        <w:rPr>
          <w:rFonts w:cs="Arial"/>
          <w:i/>
        </w:rPr>
        <w:t>Questionnaire rempli par les répondants</w:t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A-t-on élaboré et mis en œuvre des stratégies pour maximaliser le taux de réponse à la première tentative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A-t-on bien présenté l’enquête (objectifs, personnes en charge, confidentialité des répondants, etc.), par exemple dans une lettre d’accompagnement au questionnaire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>
      <w:pPr>
        <w:spacing w:before="0" w:after="200" w:line="276" w:lineRule="auto"/>
        <w:jc w:val="left"/>
      </w:pPr>
      <w:r>
        <w:br w:type="page"/>
      </w:r>
    </w:p>
    <w:p w:rsidR="00430D07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lastRenderedPageBreak/>
        <w:t>A-t-on procédé à une relance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Pr="0032385E" w:rsidRDefault="00430D07" w:rsidP="00430D07">
      <w:pPr>
        <w:spacing w:before="0" w:line="264" w:lineRule="auto"/>
        <w:rPr>
          <w:rFonts w:cs="Arial"/>
          <w:i/>
        </w:rPr>
      </w:pPr>
      <w:r w:rsidRPr="0032385E">
        <w:rPr>
          <w:rFonts w:cs="Arial"/>
          <w:i/>
        </w:rPr>
        <w:t>Questionnaire rempli par un enquêteur</w:t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Si l’on a recours à une firme de sondage pour remplir le questionnaire, a-t-on bien précisé les objectifs et les attentes par rapport à l’enquête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Si l’on a recours à une firme de sondage pour remplir le questionnaire, s’est-on assuré de faire un suivi tout au long de la collecte de données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Si le questionnaire n’est pas rempli par des experts, s’est-on assuré que tous les enquêteurs connaissent et respectent les règles de base pour soumettre un questionnaire (présentation de l’enquête, formulation, ordre des questions, éthique, etc.)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A-t-on déterminé le nombre de rappels qui seraient faits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>
      <w:pPr>
        <w:spacing w:before="0" w:after="200" w:line="276" w:lineRule="auto"/>
        <w:jc w:val="left"/>
      </w:pPr>
      <w:r>
        <w:br w:type="page"/>
      </w:r>
    </w:p>
    <w:p w:rsidR="00430D07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lastRenderedPageBreak/>
        <w:t>A-t-on fait des rappels à des moments différents pour maximaliser le taux de réponse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Pr="00F10194" w:rsidRDefault="00430D07" w:rsidP="00F10194">
      <w:pPr>
        <w:spacing w:before="480" w:after="240"/>
        <w:rPr>
          <w:rFonts w:cs="Arial"/>
          <w:b/>
        </w:rPr>
      </w:pPr>
      <w:r w:rsidRPr="00F10194">
        <w:rPr>
          <w:rFonts w:cs="Arial"/>
          <w:b/>
        </w:rPr>
        <w:t>Retour des questionnaires</w:t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Si les questionnaires sont remplis par les répondants, a-t-on prévu une façon que les questionnaires remplis soient retournés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30D07" w:rsidRPr="00F10194" w:rsidRDefault="00430D07" w:rsidP="00F10194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10194">
        <w:t>A-t-on élaboré et mis en œuvre des stratégies pour faciliter ou favoriser le retour des questionnaires (enveloppes préaffranchies, date d’échéance claire, etc.) ?</w:t>
      </w:r>
      <w:r w:rsidR="00CB158E">
        <w:tab/>
        <w:t xml:space="preserve">Oui </w:t>
      </w:r>
      <w:r w:rsidR="00343551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D7640B">
        <w:rPr>
          <w:shd w:val="clear" w:color="auto" w:fill="FFFFFF" w:themeFill="background1"/>
        </w:rPr>
        <w:instrText xml:space="preserve"> FORMCHECKBOX </w:instrText>
      </w:r>
      <w:r w:rsidR="00343551" w:rsidRPr="00D7640B">
        <w:rPr>
          <w:shd w:val="clear" w:color="auto" w:fill="FFFFFF" w:themeFill="background1"/>
        </w:rPr>
      </w:r>
      <w:r w:rsidR="00343551" w:rsidRPr="00D7640B">
        <w:rPr>
          <w:shd w:val="clear" w:color="auto" w:fill="FFFFFF" w:themeFill="background1"/>
        </w:rPr>
        <w:fldChar w:fldCharType="end"/>
      </w:r>
      <w:r w:rsidR="00CB158E">
        <w:rPr>
          <w:shd w:val="clear" w:color="auto" w:fill="FFFFFF" w:themeFill="background1"/>
        </w:rPr>
        <w:t xml:space="preserve">  </w:t>
      </w:r>
      <w:r w:rsidR="00CB158E">
        <w:t xml:space="preserve">Non </w:t>
      </w:r>
      <w:r w:rsidR="00343551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158E" w:rsidRPr="00490B3B">
        <w:instrText xml:space="preserve"> FORMCHECKBOX </w:instrText>
      </w:r>
      <w:r w:rsidR="00343551" w:rsidRPr="00490B3B">
        <w:fldChar w:fldCharType="end"/>
      </w:r>
    </w:p>
    <w:p w:rsidR="0058329B" w:rsidRDefault="0058329B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FA35A0" w:rsidRDefault="00FA35A0" w:rsidP="0058329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sectPr w:rsidR="00FA35A0" w:rsidSect="002A7B16">
      <w:pgSz w:w="12242" w:h="15842" w:code="1"/>
      <w:pgMar w:top="1440" w:right="1440" w:bottom="1440" w:left="1440" w:header="720" w:footer="720" w:gutter="0"/>
      <w:pgBorders w:offsetFrom="page">
        <w:top w:val="single" w:sz="12" w:space="24" w:color="auto"/>
        <w:left w:val="thickThinSmallGap" w:sz="24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998"/>
    <w:multiLevelType w:val="hybridMultilevel"/>
    <w:tmpl w:val="28968F56"/>
    <w:lvl w:ilvl="0" w:tplc="040C0005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675C7E14"/>
    <w:multiLevelType w:val="hybridMultilevel"/>
    <w:tmpl w:val="A59A966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0D07"/>
    <w:rsid w:val="000B51BD"/>
    <w:rsid w:val="00126FC4"/>
    <w:rsid w:val="002A7B16"/>
    <w:rsid w:val="002D68E3"/>
    <w:rsid w:val="0032385E"/>
    <w:rsid w:val="00343551"/>
    <w:rsid w:val="004227CC"/>
    <w:rsid w:val="00430D07"/>
    <w:rsid w:val="004E6201"/>
    <w:rsid w:val="0058329B"/>
    <w:rsid w:val="005B595D"/>
    <w:rsid w:val="007B5511"/>
    <w:rsid w:val="008F3EA4"/>
    <w:rsid w:val="009B7378"/>
    <w:rsid w:val="00BA32D1"/>
    <w:rsid w:val="00BF5E9F"/>
    <w:rsid w:val="00CB158E"/>
    <w:rsid w:val="00CE74D0"/>
    <w:rsid w:val="00D9154F"/>
    <w:rsid w:val="00E87086"/>
    <w:rsid w:val="00F10194"/>
    <w:rsid w:val="00FA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07"/>
    <w:pPr>
      <w:spacing w:before="120" w:after="120" w:line="240" w:lineRule="auto"/>
      <w:jc w:val="both"/>
    </w:pPr>
    <w:rPr>
      <w:rFonts w:ascii="Arial" w:eastAsia="MS Mincho" w:hAnsi="Arial" w:cs="Times New Roman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430D07"/>
    <w:pPr>
      <w:keepNext/>
      <w:spacing w:before="240"/>
      <w:outlineLvl w:val="1"/>
    </w:pPr>
    <w:rPr>
      <w:rFonts w:ascii="Arial Gras" w:hAnsi="Arial Gras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30D07"/>
    <w:rPr>
      <w:rFonts w:ascii="Arial Gras" w:eastAsia="MS Mincho" w:hAnsi="Arial Gras" w:cs="Times New Roman"/>
      <w:b/>
      <w:bCs/>
      <w:smallCaps/>
      <w:sz w:val="24"/>
      <w:szCs w:val="26"/>
      <w:lang w:val="fr-CA" w:eastAsia="fr-FR"/>
    </w:rPr>
  </w:style>
  <w:style w:type="paragraph" w:styleId="Paragraphedeliste">
    <w:name w:val="List Paragraph"/>
    <w:basedOn w:val="Normal"/>
    <w:uiPriority w:val="99"/>
    <w:qFormat/>
    <w:rsid w:val="00430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National de Santé Publique du Québec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Marie Bouchard</dc:creator>
  <cp:lastModifiedBy>niqflo01</cp:lastModifiedBy>
  <cp:revision>2</cp:revision>
  <dcterms:created xsi:type="dcterms:W3CDTF">2012-02-13T15:44:00Z</dcterms:created>
  <dcterms:modified xsi:type="dcterms:W3CDTF">2012-02-13T15:44:00Z</dcterms:modified>
</cp:coreProperties>
</file>